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3350B3" w14:textId="77777777" w:rsidR="003C233B" w:rsidRPr="004C7FE3" w:rsidRDefault="003C233B" w:rsidP="003C233B">
      <w:r w:rsidRPr="004C7FE3">
        <w:rPr>
          <w:b/>
        </w:rPr>
        <w:t xml:space="preserve">Title: </w:t>
      </w:r>
      <w:r w:rsidRPr="004C7FE3">
        <w:t xml:space="preserve">An Evaluation of Agency in </w:t>
      </w:r>
      <w:r>
        <w:t xml:space="preserve">Game-Theoretic </w:t>
      </w:r>
      <w:r w:rsidRPr="004C7FE3">
        <w:t xml:space="preserve">Models of </w:t>
      </w:r>
      <w:r>
        <w:t>Integrative Divorce-Bargaining</w:t>
      </w:r>
    </w:p>
    <w:p w14:paraId="2EABBC0B" w14:textId="77777777" w:rsidR="003C233B" w:rsidRPr="004C7FE3" w:rsidRDefault="003C233B" w:rsidP="003C233B"/>
    <w:p w14:paraId="0D59C3BF" w14:textId="77777777" w:rsidR="003C233B" w:rsidRPr="004C7FE3" w:rsidRDefault="003C233B" w:rsidP="003C233B">
      <w:r w:rsidRPr="004C7FE3">
        <w:rPr>
          <w:b/>
        </w:rPr>
        <w:t xml:space="preserve">Author: </w:t>
      </w:r>
      <w:r w:rsidRPr="004C7FE3">
        <w:t>Inbar Fass</w:t>
      </w:r>
    </w:p>
    <w:p w14:paraId="47B73062" w14:textId="77777777" w:rsidR="003C233B" w:rsidRPr="004C7FE3" w:rsidRDefault="003C233B" w:rsidP="003C233B"/>
    <w:p w14:paraId="59C7E9B4" w14:textId="77777777" w:rsidR="003C233B" w:rsidRPr="004C7FE3" w:rsidRDefault="003C233B" w:rsidP="003C233B">
      <w:r w:rsidRPr="004C7FE3">
        <w:rPr>
          <w:b/>
        </w:rPr>
        <w:t xml:space="preserve">Supervisors: </w:t>
      </w:r>
      <w:r w:rsidRPr="004C7FE3">
        <w:t xml:space="preserve">Dr. Joanna Syrda and Dr. Timothy Wakeley </w:t>
      </w:r>
    </w:p>
    <w:p w14:paraId="655D90E1" w14:textId="77777777" w:rsidR="003C233B" w:rsidRPr="004C7FE3" w:rsidRDefault="003C233B" w:rsidP="003C233B"/>
    <w:p w14:paraId="518BF68E" w14:textId="77777777" w:rsidR="003C233B" w:rsidRPr="004C7FE3" w:rsidRDefault="003C233B" w:rsidP="003C233B">
      <w:r w:rsidRPr="004C7FE3">
        <w:rPr>
          <w:b/>
        </w:rPr>
        <w:t xml:space="preserve">Contact Details: </w:t>
      </w:r>
      <w:hyperlink r:id="rId8" w:history="1">
        <w:r w:rsidRPr="004C7FE3">
          <w:rPr>
            <w:rStyle w:val="Hyperlink"/>
          </w:rPr>
          <w:t>if238@bath.ac.uk</w:t>
        </w:r>
      </w:hyperlink>
      <w:r w:rsidRPr="004C7FE3">
        <w:t xml:space="preserve"> </w:t>
      </w:r>
    </w:p>
    <w:p w14:paraId="017E983B" w14:textId="77777777" w:rsidR="003C233B" w:rsidRPr="004C7FE3" w:rsidRDefault="003C233B" w:rsidP="003C233B"/>
    <w:p w14:paraId="70A2BF76" w14:textId="77777777" w:rsidR="003C233B" w:rsidRPr="004C7FE3" w:rsidRDefault="003C233B" w:rsidP="003C233B">
      <w:pPr>
        <w:rPr>
          <w:b/>
        </w:rPr>
      </w:pPr>
      <w:r w:rsidRPr="004C7FE3">
        <w:rPr>
          <w:b/>
        </w:rPr>
        <w:t xml:space="preserve">Abstract: </w:t>
      </w:r>
    </w:p>
    <w:p w14:paraId="404C70A2" w14:textId="5CADEB2A" w:rsidR="00DB2C3F" w:rsidRDefault="00DB2C3F" w:rsidP="009F0FF1">
      <w:pPr>
        <w:spacing w:line="360" w:lineRule="auto"/>
        <w:rPr>
          <w:rFonts w:eastAsia="Times New Roman"/>
        </w:rPr>
      </w:pPr>
      <w:r>
        <w:rPr>
          <w:rFonts w:eastAsia="Times New Roman"/>
        </w:rPr>
        <w:t xml:space="preserve">Many divorce clients hire legal representation and because divorce-bargaining typically presents integrative potential; lawyers may navigate the integrative process on their client’s behalf. However, familiar agency problems suggest that lawyers may not always act in their client’s best interests. Accordingly, this paper investigates the effects of agency on the likelihood of divorce clients’ attaining integrative outcomes. A novel model is posited, the </w:t>
      </w:r>
      <w:r w:rsidR="0025565B">
        <w:rPr>
          <w:rFonts w:eastAsia="Times New Roman"/>
        </w:rPr>
        <w:t>IDB</w:t>
      </w:r>
      <w:r w:rsidR="00B8729E">
        <w:rPr>
          <w:rFonts w:eastAsia="Times New Roman"/>
        </w:rPr>
        <w:t>G</w:t>
      </w:r>
      <w:r>
        <w:rPr>
          <w:rFonts w:eastAsia="Times New Roman"/>
        </w:rPr>
        <w:t xml:space="preserve"> (</w:t>
      </w:r>
      <w:r w:rsidR="00B8729E">
        <w:rPr>
          <w:rFonts w:eastAsia="Times New Roman"/>
        </w:rPr>
        <w:t>Integrative Divorce-Bargaining Game)</w:t>
      </w:r>
      <w:r w:rsidR="00874F15">
        <w:rPr>
          <w:rFonts w:eastAsia="Times New Roman"/>
        </w:rPr>
        <w:t>,</w:t>
      </w:r>
      <w:r>
        <w:rPr>
          <w:rFonts w:eastAsia="Times New Roman"/>
        </w:rPr>
        <w:t xml:space="preserve"> a game played by ‘lawyers’ on behalf of ‘clients’. Comparative statics are utilised to analyse how varying divorce parameters affect the lawyers’ ‘timing’ of settlements. Specifically, how varying parameters, including the lawyer's reputational capital, fee-structures and the prospect of trials promote over/under investment with respect to the integrative and client welfare maximising outcome. The model predicts overinvestment and corroborates the systematic settlement delays observed in practice. The model’s main implications are the limitations of a lawyer’s reputational capital in terms of its suggested facilitation of client welfare and signalling of interest-alignment. The evolutionary ramifications for the market of divorce-law are discussed.  </w:t>
      </w:r>
    </w:p>
    <w:p w14:paraId="4FE59BD9" w14:textId="77777777" w:rsidR="0086456F" w:rsidRDefault="0086456F"/>
    <w:p w14:paraId="6E48D744" w14:textId="77777777" w:rsidR="00B54813" w:rsidRDefault="00B54813"/>
    <w:p w14:paraId="7B773EF1" w14:textId="77777777" w:rsidR="00B54813" w:rsidRDefault="00B54813"/>
    <w:p w14:paraId="28B68B7A" w14:textId="77777777" w:rsidR="00B54813" w:rsidRDefault="00B54813"/>
    <w:p w14:paraId="7E119EC2" w14:textId="77777777" w:rsidR="00B54813" w:rsidRDefault="00B54813"/>
    <w:p w14:paraId="050477B5" w14:textId="77777777" w:rsidR="00B54813" w:rsidRDefault="00B54813"/>
    <w:p w14:paraId="17711EB7" w14:textId="77777777" w:rsidR="00B54813" w:rsidRDefault="00B54813"/>
    <w:p w14:paraId="69B422A7" w14:textId="77777777" w:rsidR="00B54813" w:rsidRDefault="00B54813"/>
    <w:p w14:paraId="3EA24825" w14:textId="77777777" w:rsidR="00B54813" w:rsidRDefault="00B54813"/>
    <w:p w14:paraId="72B6875C" w14:textId="77777777" w:rsidR="00B54813" w:rsidRDefault="00B54813"/>
    <w:p w14:paraId="5F73BF0B" w14:textId="77777777" w:rsidR="00B54813" w:rsidRDefault="00B54813"/>
    <w:p w14:paraId="7674F51D" w14:textId="77777777" w:rsidR="00B54813" w:rsidRDefault="00B54813"/>
    <w:p w14:paraId="7FEC5DDB" w14:textId="77777777" w:rsidR="00B54813" w:rsidRDefault="00B54813"/>
    <w:p w14:paraId="29D9925F" w14:textId="77777777" w:rsidR="00B54813" w:rsidRDefault="00B54813"/>
    <w:p w14:paraId="1AD10B13" w14:textId="77777777" w:rsidR="00B54813" w:rsidRDefault="00B54813"/>
    <w:p w14:paraId="60A29318" w14:textId="77777777" w:rsidR="00B54813" w:rsidRDefault="00B54813"/>
    <w:p w14:paraId="57F1EC97" w14:textId="77777777" w:rsidR="00B54813" w:rsidRDefault="00B54813"/>
    <w:p w14:paraId="770E33C5" w14:textId="77777777" w:rsidR="00B54813" w:rsidRDefault="00B54813"/>
    <w:p w14:paraId="3048051E" w14:textId="77777777" w:rsidR="00B54813" w:rsidRDefault="00B54813"/>
    <w:p w14:paraId="55F90E63" w14:textId="77777777" w:rsidR="00B54813" w:rsidRDefault="00B54813"/>
    <w:p w14:paraId="7626EF26" w14:textId="77777777" w:rsidR="00B54813" w:rsidRPr="003674FB" w:rsidRDefault="00B54813" w:rsidP="00B54813">
      <w:pPr>
        <w:spacing w:line="360" w:lineRule="auto"/>
        <w:jc w:val="center"/>
        <w:rPr>
          <w:i/>
          <w:color w:val="000000" w:themeColor="text1"/>
        </w:rPr>
      </w:pPr>
      <w:r w:rsidRPr="003674FB">
        <w:rPr>
          <w:color w:val="000000" w:themeColor="text1"/>
        </w:rPr>
        <w:t>“</w:t>
      </w:r>
      <w:r w:rsidRPr="003674FB">
        <w:rPr>
          <w:i/>
          <w:color w:val="000000" w:themeColor="text1"/>
        </w:rPr>
        <w:t>The most fundamental institutional feature of legal negotiation is that lawyers negotiate as agents on behalf of principals (clients), rather than as principal parties themselves”</w:t>
      </w:r>
    </w:p>
    <w:p w14:paraId="4EB18B86" w14:textId="77777777" w:rsidR="00B54813" w:rsidRPr="003674FB" w:rsidRDefault="00B54813" w:rsidP="00B54813">
      <w:pPr>
        <w:spacing w:line="360" w:lineRule="auto"/>
        <w:jc w:val="right"/>
        <w:rPr>
          <w:color w:val="000000" w:themeColor="text1"/>
        </w:rPr>
      </w:pPr>
      <w:r w:rsidRPr="003674FB">
        <w:rPr>
          <w:color w:val="000000" w:themeColor="text1"/>
        </w:rPr>
        <w:t xml:space="preserve"> </w:t>
      </w:r>
      <w:r w:rsidRPr="00CF4271">
        <w:rPr>
          <w:color w:val="000000" w:themeColor="text1"/>
        </w:rPr>
        <w:t>– Korobkin (2020)</w:t>
      </w:r>
      <w:r w:rsidRPr="003674FB">
        <w:rPr>
          <w:color w:val="000000" w:themeColor="text1"/>
        </w:rPr>
        <w:t xml:space="preserve"> </w:t>
      </w:r>
    </w:p>
    <w:p w14:paraId="0C42844D" w14:textId="77777777" w:rsidR="00B54813" w:rsidRPr="003674FB" w:rsidRDefault="00B54813" w:rsidP="00B54813">
      <w:pPr>
        <w:rPr>
          <w:b/>
        </w:rPr>
      </w:pPr>
    </w:p>
    <w:p w14:paraId="644784E9" w14:textId="213A103A" w:rsidR="00B54813" w:rsidRPr="00CE2F15" w:rsidRDefault="00B54813" w:rsidP="00CE2F15">
      <w:pPr>
        <w:pStyle w:val="ListParagraph"/>
        <w:numPr>
          <w:ilvl w:val="0"/>
          <w:numId w:val="1"/>
        </w:numPr>
        <w:rPr>
          <w:b/>
        </w:rPr>
      </w:pPr>
      <w:r w:rsidRPr="003674FB">
        <w:rPr>
          <w:b/>
        </w:rPr>
        <w:t xml:space="preserve">Introduction </w:t>
      </w:r>
    </w:p>
    <w:p w14:paraId="26C2DB54" w14:textId="3D7B8ECB" w:rsidR="00B54813" w:rsidRPr="009A2062" w:rsidRDefault="00B54813" w:rsidP="00B54813">
      <w:pPr>
        <w:spacing w:line="360" w:lineRule="auto"/>
      </w:pPr>
      <w:r w:rsidRPr="00414149">
        <w:t xml:space="preserve">Despite the nature and pervasiveness of legal representation in divorce, and the scholarly attention dedicated to agency within the wider literature; divorce-bargaining is often </w:t>
      </w:r>
      <w:r w:rsidRPr="00442267">
        <w:t>modelled as two-person games between principals only. The potential for familiar agency problems (Mnookin and Kornhauser, 1979; Miller, 1987; Hay, 1996; Mnookin, Peppett and Tulumello, 2000) suggests that this is a</w:t>
      </w:r>
      <w:r w:rsidRPr="000F59B3">
        <w:t xml:space="preserve"> critical om</w:t>
      </w:r>
      <w:r w:rsidRPr="00003677">
        <w:t xml:space="preserve">ission. </w:t>
      </w:r>
      <w:r>
        <w:t xml:space="preserve">Here, the novel </w:t>
      </w:r>
      <w:r w:rsidR="00B8729E">
        <w:t xml:space="preserve">Integrative Divorce-Bargaining Game (IDBG) is developed as a solution. </w:t>
      </w:r>
      <w:r>
        <w:t xml:space="preserve">The </w:t>
      </w:r>
      <w:r w:rsidR="00B8729E">
        <w:t>IDBG</w:t>
      </w:r>
      <w:r>
        <w:t>, and its analysis, aims to investigate the effects of agency on divorce-bargaining</w:t>
      </w:r>
      <w:r w:rsidR="008F3057">
        <w:t>,</w:t>
      </w:r>
      <w:r>
        <w:t xml:space="preserve"> given how most divorcees resolve distri</w:t>
      </w:r>
      <w:r w:rsidR="00831BEF">
        <w:t xml:space="preserve">butive </w:t>
      </w:r>
      <w:r>
        <w:t xml:space="preserve">issues without </w:t>
      </w:r>
      <w:r w:rsidRPr="00130AF3">
        <w:t>adjudication (</w:t>
      </w:r>
      <w:r w:rsidR="00C0109C" w:rsidRPr="00130AF3">
        <w:t>Mather and McEwen, 2012; Wistrich</w:t>
      </w:r>
      <w:r w:rsidR="00C0109C" w:rsidRPr="00C97FAF">
        <w:t xml:space="preserve"> and Rachlinski, 2013</w:t>
      </w:r>
      <w:r w:rsidR="00EE0446" w:rsidRPr="00C97FAF">
        <w:t xml:space="preserve">). </w:t>
      </w:r>
      <w:r w:rsidRPr="00C97FAF">
        <w:t xml:space="preserve">Specifically, the </w:t>
      </w:r>
      <w:r w:rsidR="00B8729E">
        <w:rPr>
          <w:rFonts w:eastAsia="Times New Roman"/>
        </w:rPr>
        <w:t>IDBG</w:t>
      </w:r>
      <w:r w:rsidRPr="00C97FAF">
        <w:t xml:space="preserve"> aims to investigate the effects</w:t>
      </w:r>
      <w:r>
        <w:t xml:space="preserve"> of agency on </w:t>
      </w:r>
      <w:r w:rsidR="00377B06">
        <w:t xml:space="preserve">the clients’ attainment of integrative outcomes in </w:t>
      </w:r>
      <w:r>
        <w:t>divorce-bargaini</w:t>
      </w:r>
      <w:r w:rsidRPr="00082828">
        <w:t>ng, defined as an agreement that bridges the interests of both parties and discovers all potential joint-gains (Barry and Friedman, 1998)</w:t>
      </w:r>
      <w:r w:rsidRPr="00082828">
        <w:rPr>
          <w:rStyle w:val="FootnoteReference"/>
        </w:rPr>
        <w:footnoteReference w:id="1"/>
      </w:r>
      <w:r w:rsidRPr="00082828">
        <w:t xml:space="preserve">. </w:t>
      </w:r>
      <w:r w:rsidRPr="00082828">
        <w:rPr>
          <w:rFonts w:eastAsia="Times New Roman"/>
          <w:color w:val="000000"/>
          <w:shd w:val="clear" w:color="auto" w:fill="FFFFFF"/>
        </w:rPr>
        <w:t>Indeed</w:t>
      </w:r>
      <w:r w:rsidRPr="009B2089">
        <w:rPr>
          <w:rFonts w:eastAsia="Times New Roman"/>
          <w:color w:val="000000"/>
          <w:shd w:val="clear" w:color="auto" w:fill="FFFFFF"/>
        </w:rPr>
        <w:t>, divorce disputes are not necessarily zero-sum games</w:t>
      </w:r>
      <w:r>
        <w:rPr>
          <w:rFonts w:eastAsia="Times New Roman"/>
          <w:color w:val="000000"/>
          <w:shd w:val="clear" w:color="auto" w:fill="FFFFFF"/>
        </w:rPr>
        <w:t xml:space="preserve"> and in fact, many present </w:t>
      </w:r>
      <w:r w:rsidRPr="00780336">
        <w:rPr>
          <w:rFonts w:eastAsia="Times New Roman"/>
          <w:color w:val="000000"/>
          <w:shd w:val="clear" w:color="auto" w:fill="FFFFFF"/>
        </w:rPr>
        <w:t xml:space="preserve">integrative </w:t>
      </w:r>
      <w:r w:rsidRPr="00414149">
        <w:rPr>
          <w:rFonts w:eastAsia="Times New Roman"/>
          <w:color w:val="000000"/>
          <w:shd w:val="clear" w:color="auto" w:fill="FFFFFF"/>
        </w:rPr>
        <w:t xml:space="preserve">potential </w:t>
      </w:r>
      <w:r w:rsidRPr="00442267">
        <w:rPr>
          <w:rFonts w:eastAsia="Times New Roman"/>
          <w:color w:val="000000"/>
          <w:shd w:val="clear" w:color="auto" w:fill="FFFFFF"/>
        </w:rPr>
        <w:t>(Mnookin and Kornhauser, 1979; Mnookin; 1985; Maccoby and Mnookin, 1992; Gilson and Mnookin, 1994).</w:t>
      </w:r>
      <w:r w:rsidRPr="00442267">
        <w:rPr>
          <w:rStyle w:val="FootnoteReference"/>
          <w:rFonts w:eastAsia="Times New Roman"/>
          <w:color w:val="000000"/>
          <w:shd w:val="clear" w:color="auto" w:fill="FFFFFF"/>
        </w:rPr>
        <w:footnoteReference w:id="2"/>
      </w:r>
      <w:r w:rsidRPr="00442267">
        <w:rPr>
          <w:rFonts w:eastAsia="Times New Roman"/>
          <w:color w:val="000000"/>
          <w:shd w:val="clear" w:color="auto" w:fill="FFFFFF"/>
        </w:rPr>
        <w:t xml:space="preserve"> However, because divorce-bargaining often involves inexperienced and one-shot divorcees; spouses </w:t>
      </w:r>
      <w:r w:rsidRPr="00442267">
        <w:rPr>
          <w:rFonts w:eastAsia="Times New Roman"/>
          <w:color w:val="000000" w:themeColor="text1"/>
          <w:shd w:val="clear" w:color="auto" w:fill="FFFFFF"/>
        </w:rPr>
        <w:t>may become heavily reliant on lawyers who manage the integrative process on their behalf (Mnookin et al., 2000).</w:t>
      </w:r>
      <w:r w:rsidRPr="00442267">
        <w:rPr>
          <w:rFonts w:eastAsia="Times New Roman"/>
          <w:color w:val="000000"/>
          <w:shd w:val="clear" w:color="auto" w:fill="FFFFFF"/>
        </w:rPr>
        <w:t xml:space="preserve"> Consequently</w:t>
      </w:r>
      <w:r>
        <w:rPr>
          <w:rFonts w:eastAsia="Times New Roman"/>
          <w:color w:val="000000"/>
          <w:shd w:val="clear" w:color="auto" w:fill="FFFFFF"/>
        </w:rPr>
        <w:t xml:space="preserve">, </w:t>
      </w:r>
      <w:r w:rsidR="00C0109C">
        <w:rPr>
          <w:rFonts w:eastAsia="Times New Roman"/>
          <w:color w:val="000000"/>
          <w:shd w:val="clear" w:color="auto" w:fill="FFFFFF"/>
        </w:rPr>
        <w:t xml:space="preserve">this paper aims </w:t>
      </w:r>
      <w:r>
        <w:rPr>
          <w:rFonts w:eastAsia="Times New Roman"/>
          <w:color w:val="000000"/>
          <w:shd w:val="clear" w:color="auto" w:fill="FFFFFF"/>
        </w:rPr>
        <w:t xml:space="preserve">to investigate </w:t>
      </w:r>
      <w:r w:rsidR="00831BEF">
        <w:rPr>
          <w:rFonts w:eastAsia="Times New Roman"/>
          <w:color w:val="000000"/>
          <w:shd w:val="clear" w:color="auto" w:fill="FFFFFF"/>
        </w:rPr>
        <w:t xml:space="preserve">whether </w:t>
      </w:r>
      <w:r w:rsidR="00464C08">
        <w:rPr>
          <w:rFonts w:eastAsia="Times New Roman"/>
          <w:color w:val="000000"/>
          <w:shd w:val="clear" w:color="auto" w:fill="FFFFFF"/>
        </w:rPr>
        <w:t>agency facilitates</w:t>
      </w:r>
      <w:r>
        <w:rPr>
          <w:rFonts w:eastAsia="Times New Roman"/>
          <w:color w:val="000000"/>
          <w:shd w:val="clear" w:color="auto" w:fill="FFFFFF"/>
        </w:rPr>
        <w:t>, or hinder</w:t>
      </w:r>
      <w:r w:rsidR="00464C08">
        <w:rPr>
          <w:rFonts w:eastAsia="Times New Roman"/>
          <w:color w:val="000000"/>
          <w:shd w:val="clear" w:color="auto" w:fill="FFFFFF"/>
        </w:rPr>
        <w:t>s</w:t>
      </w:r>
      <w:r>
        <w:rPr>
          <w:rFonts w:eastAsia="Times New Roman"/>
          <w:color w:val="000000"/>
          <w:shd w:val="clear" w:color="auto" w:fill="FFFFFF"/>
        </w:rPr>
        <w:t xml:space="preserve">, integrative divorce agreements when bargaining under familiar conditions of agency. </w:t>
      </w:r>
    </w:p>
    <w:p w14:paraId="1C64E296" w14:textId="77777777" w:rsidR="00B54813" w:rsidRDefault="00B54813" w:rsidP="00B54813">
      <w:pPr>
        <w:spacing w:line="360" w:lineRule="auto"/>
      </w:pPr>
    </w:p>
    <w:p w14:paraId="65554964" w14:textId="4B00A166" w:rsidR="00B54813" w:rsidRDefault="00B54813" w:rsidP="00B54813">
      <w:pPr>
        <w:spacing w:line="360" w:lineRule="auto"/>
        <w:rPr>
          <w:rFonts w:eastAsia="Times New Roman"/>
          <w:color w:val="000000" w:themeColor="text1"/>
          <w:shd w:val="clear" w:color="auto" w:fill="FFFFFF"/>
        </w:rPr>
      </w:pPr>
      <w:r w:rsidRPr="004C7FE3">
        <w:rPr>
          <w:rFonts w:eastAsia="Times New Roman"/>
          <w:color w:val="000000"/>
          <w:shd w:val="clear" w:color="auto" w:fill="FFFFFF"/>
        </w:rPr>
        <w:t xml:space="preserve">To clarify what is meant by integrative outcomes in divorce-bargaining, consider that at its core, divorce consists of two spouses, each of whom seeks to maximise their utility from their share of matrimonial assets, and potentially, custody allocation. Established in Miller v Miller, McFarlane v McFarlane [2006] UKHL 24; the sharing principal maintains that the typical starting point of matrimonial asset division is a 50:50 split. Yet, the likely differences in the spouses’ interests suggests that such outcomes, while equal, are not necessarily </w:t>
      </w:r>
      <w:r w:rsidRPr="00442267">
        <w:rPr>
          <w:rFonts w:eastAsia="Times New Roman"/>
          <w:color w:val="000000"/>
          <w:shd w:val="clear" w:color="auto" w:fill="FFFFFF"/>
        </w:rPr>
        <w:t>efficient. Indeed, divorce-bargaining is often characterised by multiple issues and to the extent that spouses possess differing interests, value can be created through trade (Mnookin and Kornhauser 1979; Maccoby and Mnookin,</w:t>
      </w:r>
      <w:r w:rsidRPr="00EA15F3">
        <w:rPr>
          <w:rFonts w:eastAsia="Times New Roman"/>
          <w:color w:val="000000"/>
          <w:shd w:val="clear" w:color="auto" w:fill="FFFFFF"/>
        </w:rPr>
        <w:t xml:space="preserve"> 1992). In the context of divorce, the integrative process thus refers to the unveiling of differences in relative values attached to components of divorce (e.g. finances and custody), and the process of leveraging these differences, through trade, to create value for both spouses (Maccoby and Mnookin, 1992).</w:t>
      </w:r>
      <w:r w:rsidRPr="004C7FE3">
        <w:rPr>
          <w:rFonts w:eastAsia="Times New Roman"/>
          <w:color w:val="000000" w:themeColor="text1"/>
          <w:shd w:val="clear" w:color="auto" w:fill="FFFFFF"/>
        </w:rPr>
        <w:t xml:space="preserve"> </w:t>
      </w:r>
      <w:r>
        <w:rPr>
          <w:rFonts w:eastAsia="Times New Roman"/>
          <w:color w:val="000000" w:themeColor="text1"/>
          <w:shd w:val="clear" w:color="auto" w:fill="FFFFFF"/>
        </w:rPr>
        <w:t xml:space="preserve">Importantly, the integrative process typically relies on, or is greatly facilitated by, </w:t>
      </w:r>
      <w:r w:rsidRPr="00780336">
        <w:rPr>
          <w:rFonts w:eastAsia="Times New Roman"/>
          <w:color w:val="000000" w:themeColor="text1"/>
          <w:shd w:val="clear" w:color="auto" w:fill="FFFFFF"/>
        </w:rPr>
        <w:t>information-</w:t>
      </w:r>
      <w:r w:rsidRPr="00E651D4">
        <w:rPr>
          <w:rFonts w:eastAsia="Times New Roman"/>
          <w:color w:val="000000" w:themeColor="text1"/>
          <w:shd w:val="clear" w:color="auto" w:fill="FFFFFF"/>
        </w:rPr>
        <w:t>exchange (Walton and McKersie, 1965; Bazerman</w:t>
      </w:r>
      <w:r w:rsidRPr="008F7A8E">
        <w:rPr>
          <w:rFonts w:eastAsia="Times New Roman"/>
          <w:color w:val="000000" w:themeColor="text1"/>
          <w:shd w:val="clear" w:color="auto" w:fill="FFFFFF"/>
        </w:rPr>
        <w:t xml:space="preserve"> and Neale, 1983</w:t>
      </w:r>
      <w:r w:rsidRPr="00CF4271">
        <w:rPr>
          <w:rFonts w:eastAsia="Times New Roman"/>
          <w:color w:val="000000" w:themeColor="text1"/>
          <w:shd w:val="clear" w:color="auto" w:fill="FFFFFF"/>
        </w:rPr>
        <w:t xml:space="preserve">; Lax and Sebenius, </w:t>
      </w:r>
      <w:r w:rsidRPr="00E651D4">
        <w:rPr>
          <w:rFonts w:eastAsia="Times New Roman"/>
          <w:color w:val="000000" w:themeColor="text1"/>
          <w:shd w:val="clear" w:color="auto" w:fill="FFFFFF"/>
        </w:rPr>
        <w:t>1986; Pruitt and Rubin, 1986; Fisher</w:t>
      </w:r>
      <w:r w:rsidR="00414149" w:rsidRPr="00E651D4">
        <w:rPr>
          <w:rFonts w:eastAsia="Times New Roman"/>
          <w:color w:val="000000" w:themeColor="text1"/>
          <w:shd w:val="clear" w:color="auto" w:fill="FFFFFF"/>
        </w:rPr>
        <w:t xml:space="preserve">, Ury and Patton, 1991; </w:t>
      </w:r>
      <w:r w:rsidRPr="00E651D4">
        <w:rPr>
          <w:rFonts w:eastAsia="Times New Roman"/>
          <w:color w:val="000000" w:themeColor="text1"/>
          <w:shd w:val="clear" w:color="auto" w:fill="FFFFFF"/>
        </w:rPr>
        <w:t>Thompson, Peterson and Brodt, 1996; Barry and</w:t>
      </w:r>
      <w:r w:rsidRPr="00082828">
        <w:rPr>
          <w:rFonts w:eastAsia="Times New Roman"/>
          <w:color w:val="000000" w:themeColor="text1"/>
          <w:shd w:val="clear" w:color="auto" w:fill="FFFFFF"/>
        </w:rPr>
        <w:t xml:space="preserve"> Friedman, </w:t>
      </w:r>
      <w:r w:rsidRPr="00442267">
        <w:rPr>
          <w:rFonts w:eastAsia="Times New Roman"/>
          <w:color w:val="000000" w:themeColor="text1"/>
          <w:shd w:val="clear" w:color="auto" w:fill="FFFFFF"/>
        </w:rPr>
        <w:t>1998; Murnighan et al., 1999; Mnookin et al, 2000; Mnookin, 2003).</w:t>
      </w:r>
      <w:r w:rsidR="00F864D3" w:rsidRPr="00442267">
        <w:rPr>
          <w:rStyle w:val="FootnoteReference"/>
          <w:rFonts w:eastAsia="Times New Roman"/>
          <w:color w:val="000000" w:themeColor="text1"/>
          <w:shd w:val="clear" w:color="auto" w:fill="FFFFFF"/>
        </w:rPr>
        <w:footnoteReference w:id="3"/>
      </w:r>
      <w:r w:rsidRPr="00442267">
        <w:rPr>
          <w:rFonts w:eastAsia="Times New Roman"/>
          <w:color w:val="000000" w:themeColor="text1"/>
          <w:shd w:val="clear" w:color="auto" w:fill="FFFFFF"/>
        </w:rPr>
        <w:t xml:space="preserve"> In</w:t>
      </w:r>
      <w:r w:rsidRPr="00B07B0C">
        <w:rPr>
          <w:rFonts w:eastAsia="Times New Roman"/>
          <w:color w:val="000000" w:themeColor="text1"/>
          <w:shd w:val="clear" w:color="auto" w:fill="FFFFFF"/>
        </w:rPr>
        <w:t>deed</w:t>
      </w:r>
      <w:r>
        <w:rPr>
          <w:rFonts w:eastAsia="Times New Roman"/>
          <w:color w:val="000000" w:themeColor="text1"/>
          <w:shd w:val="clear" w:color="auto" w:fill="FFFFFF"/>
        </w:rPr>
        <w:t xml:space="preserve">, disclosure may unveil the complementary, as opposed to contradictory, nature of the parties’ </w:t>
      </w:r>
      <w:r w:rsidRPr="00BD32A9">
        <w:rPr>
          <w:rFonts w:eastAsia="Times New Roman"/>
          <w:color w:val="000000" w:themeColor="text1"/>
          <w:shd w:val="clear" w:color="auto" w:fill="FFFFFF"/>
        </w:rPr>
        <w:t>interests (Pruitt and Rubin, 1986), helping</w:t>
      </w:r>
      <w:r>
        <w:rPr>
          <w:rFonts w:eastAsia="Times New Roman"/>
          <w:color w:val="000000" w:themeColor="text1"/>
          <w:shd w:val="clear" w:color="auto" w:fill="FFFFFF"/>
        </w:rPr>
        <w:t xml:space="preserve"> to curb the </w:t>
      </w:r>
      <w:r w:rsidRPr="008F7A8E">
        <w:rPr>
          <w:rFonts w:eastAsia="Times New Roman"/>
          <w:color w:val="000000" w:themeColor="text1"/>
          <w:shd w:val="clear" w:color="auto" w:fill="FFFFFF"/>
        </w:rPr>
        <w:t>fixed-pie bias (Bazerman and Neale, 1983; Birke and Fox, 1999).</w:t>
      </w:r>
      <w:r w:rsidRPr="008F7A8E">
        <w:rPr>
          <w:rStyle w:val="FootnoteReference"/>
          <w:rFonts w:eastAsia="Times New Roman"/>
          <w:color w:val="000000" w:themeColor="text1"/>
          <w:shd w:val="clear" w:color="auto" w:fill="FFFFFF"/>
        </w:rPr>
        <w:footnoteReference w:id="4"/>
      </w:r>
      <w:r w:rsidRPr="00DA1A21">
        <w:rPr>
          <w:rFonts w:eastAsia="Times New Roman"/>
          <w:color w:val="000000" w:themeColor="text1"/>
          <w:shd w:val="clear" w:color="auto" w:fill="FFFFFF"/>
        </w:rPr>
        <w:t xml:space="preserve"> However</w:t>
      </w:r>
      <w:r>
        <w:rPr>
          <w:rFonts w:eastAsia="Times New Roman"/>
          <w:color w:val="000000" w:themeColor="text1"/>
          <w:shd w:val="clear" w:color="auto" w:fill="FFFFFF"/>
        </w:rPr>
        <w:t xml:space="preserve">, information-exchange, and thus the attainment of integrative outcomes, may be hindered by a mutual fear of exploitation. </w:t>
      </w:r>
    </w:p>
    <w:p w14:paraId="33385FEE" w14:textId="77777777" w:rsidR="00512056" w:rsidRDefault="00512056" w:rsidP="00B54813">
      <w:pPr>
        <w:spacing w:line="360" w:lineRule="auto"/>
        <w:rPr>
          <w:rFonts w:eastAsia="Times New Roman"/>
          <w:color w:val="000000" w:themeColor="text1"/>
          <w:shd w:val="clear" w:color="auto" w:fill="FFFFFF"/>
        </w:rPr>
      </w:pPr>
    </w:p>
    <w:p w14:paraId="152E0285" w14:textId="77777777" w:rsidR="00B54813" w:rsidRDefault="00B54813" w:rsidP="00B54813">
      <w:pPr>
        <w:spacing w:line="360" w:lineRule="auto"/>
        <w:rPr>
          <w:rFonts w:eastAsia="Times New Roman"/>
          <w:color w:val="000000"/>
          <w:shd w:val="clear" w:color="auto" w:fill="FFFFFF"/>
        </w:rPr>
      </w:pPr>
      <w:r w:rsidRPr="004C7FE3">
        <w:rPr>
          <w:rFonts w:eastAsia="Times New Roman"/>
          <w:color w:val="000000"/>
          <w:shd w:val="clear" w:color="auto" w:fill="FFFFFF"/>
        </w:rPr>
        <w:t xml:space="preserve">Consider, for example, divorcing spouses Fabian and Emma, parents of Robert aged 7, owners of real-estate properties, a sports car, a motorcycle and an SUV. Recognising the merit of value-creation, Emma may decide to unveil her desire to maintain ownership of their child-friendly SUV, to enable her to drive Robert to school. Emma may thus offer Fabian a concession by offering full-ownership of the motorcycle in exchange. While cooperative, this divulgence places Emma at risk of exploitation by a potentially spiteful spouse, who may leverage Emma’s revealed dependency to coerce a greater share of their matrimonial assets. For instance, Fabian may demand ownership of both the motorcycle and sports car in return. However, recognising that this will likely adversely affect the </w:t>
      </w:r>
      <w:r>
        <w:rPr>
          <w:rFonts w:eastAsia="Times New Roman"/>
          <w:color w:val="000000"/>
          <w:shd w:val="clear" w:color="auto" w:fill="FFFFFF"/>
        </w:rPr>
        <w:t>integrative</w:t>
      </w:r>
      <w:r w:rsidRPr="004C7FE3">
        <w:rPr>
          <w:rFonts w:eastAsia="Times New Roman"/>
          <w:color w:val="000000"/>
          <w:shd w:val="clear" w:color="auto" w:fill="FFFFFF"/>
        </w:rPr>
        <w:t xml:space="preserve"> process, Fabian may instead reciprocate and divulge sensitive information of his own. Specifically, his priority of retaining custody over the weekends, to enable him to take Robert to weekend football games. Value can be created if the spouses agree to exchange ownership of the SUV and sports car when exchanging custody at the end of each week. Emma is granted access to the sports car over weekends, when she can benefit from it the most, while Fabian is granted access to the child-friendly SUV, enabling him to safely drive Robert to their weekend games. Each time a spouse divulges sensitive information, they </w:t>
      </w:r>
      <w:r>
        <w:rPr>
          <w:rFonts w:eastAsia="Times New Roman"/>
          <w:color w:val="000000"/>
          <w:shd w:val="clear" w:color="auto" w:fill="FFFFFF"/>
        </w:rPr>
        <w:t>risk</w:t>
      </w:r>
      <w:r w:rsidRPr="004C7FE3">
        <w:rPr>
          <w:rFonts w:eastAsia="Times New Roman"/>
          <w:color w:val="000000"/>
          <w:shd w:val="clear" w:color="auto" w:fill="FFFFFF"/>
        </w:rPr>
        <w:t xml:space="preserve"> exploitation, yet a sole focus on distributive issues may mean that both forego substantial joint-gains and an integrative outcome that is more favourable for both parties. </w:t>
      </w:r>
    </w:p>
    <w:p w14:paraId="2123574C" w14:textId="77777777" w:rsidR="00B54813" w:rsidRDefault="00B54813" w:rsidP="00B54813">
      <w:pPr>
        <w:spacing w:line="360" w:lineRule="auto"/>
        <w:rPr>
          <w:rFonts w:eastAsia="Times New Roman"/>
          <w:color w:val="000000"/>
          <w:shd w:val="clear" w:color="auto" w:fill="FFFFFF"/>
        </w:rPr>
      </w:pPr>
    </w:p>
    <w:p w14:paraId="63D8D42D" w14:textId="6FF68704" w:rsidR="00B54813" w:rsidRPr="004C7FE3" w:rsidRDefault="00B54813" w:rsidP="00B54813">
      <w:pPr>
        <w:spacing w:line="360" w:lineRule="auto"/>
        <w:rPr>
          <w:rFonts w:eastAsia="Times New Roman"/>
          <w:color w:val="000000"/>
          <w:shd w:val="clear" w:color="auto" w:fill="FFFFFF"/>
        </w:rPr>
      </w:pPr>
      <w:r>
        <w:rPr>
          <w:rFonts w:eastAsia="Times New Roman"/>
          <w:color w:val="000000"/>
          <w:shd w:val="clear" w:color="auto" w:fill="FFFFFF"/>
        </w:rPr>
        <w:t xml:space="preserve">The </w:t>
      </w:r>
      <w:r w:rsidR="00B8729E">
        <w:rPr>
          <w:rFonts w:eastAsia="Times New Roman"/>
        </w:rPr>
        <w:t>IDBG</w:t>
      </w:r>
      <w:r w:rsidRPr="004C7FE3">
        <w:rPr>
          <w:rFonts w:eastAsia="Times New Roman"/>
          <w:color w:val="000000"/>
          <w:shd w:val="clear" w:color="auto" w:fill="FFFFFF"/>
        </w:rPr>
        <w:t xml:space="preserve"> models </w:t>
      </w:r>
      <w:r>
        <w:rPr>
          <w:rFonts w:eastAsia="Times New Roman"/>
          <w:color w:val="000000"/>
          <w:shd w:val="clear" w:color="auto" w:fill="FFFFFF"/>
        </w:rPr>
        <w:t xml:space="preserve">how agents (lawyers), rather than principals (clients/spouses), manage the integrative process. Incorporating agents into the analysis of divorce-bargaining introduces a new level of complexity. This complexity is justified due to the pervasiveness of both agency </w:t>
      </w:r>
      <w:r w:rsidRPr="00130AF3">
        <w:rPr>
          <w:rFonts w:eastAsia="Times New Roman"/>
          <w:color w:val="000000"/>
          <w:shd w:val="clear" w:color="auto" w:fill="FFFFFF"/>
        </w:rPr>
        <w:t xml:space="preserve">and </w:t>
      </w:r>
      <w:r w:rsidR="00512056" w:rsidRPr="00130AF3">
        <w:rPr>
          <w:rFonts w:eastAsia="Times New Roman"/>
          <w:color w:val="000000"/>
          <w:shd w:val="clear" w:color="auto" w:fill="FFFFFF"/>
        </w:rPr>
        <w:t>reliant</w:t>
      </w:r>
      <w:r w:rsidRPr="00130AF3">
        <w:rPr>
          <w:rFonts w:eastAsia="Times New Roman"/>
          <w:color w:val="000000"/>
          <w:shd w:val="clear" w:color="auto" w:fill="FFFFFF"/>
        </w:rPr>
        <w:t xml:space="preserve"> principals in the domain, the fact that litigation is littered with principal-agent problems (Mnookin, 1993), and the fact that agency is likely to increase unethical negotiating behaviour (Korobkin, 2020). </w:t>
      </w:r>
      <w:r w:rsidR="00512056" w:rsidRPr="00130AF3">
        <w:rPr>
          <w:rFonts w:eastAsia="Times New Roman"/>
          <w:color w:val="000000"/>
          <w:shd w:val="clear" w:color="auto" w:fill="FFFFFF"/>
        </w:rPr>
        <w:t>Indeed,</w:t>
      </w:r>
      <w:r w:rsidRPr="00130AF3">
        <w:rPr>
          <w:rFonts w:eastAsia="Times New Roman"/>
          <w:color w:val="000000"/>
          <w:shd w:val="clear" w:color="auto" w:fill="FFFFFF"/>
        </w:rPr>
        <w:t xml:space="preserve"> agents, in negotiations, have been suggested to purposely exacerbate tensions, protract disputes and </w:t>
      </w:r>
      <w:r w:rsidR="00377B06">
        <w:rPr>
          <w:rFonts w:eastAsia="Times New Roman"/>
          <w:color w:val="000000"/>
          <w:shd w:val="clear" w:color="auto" w:fill="FFFFFF"/>
        </w:rPr>
        <w:t xml:space="preserve">unnecessarily </w:t>
      </w:r>
      <w:r w:rsidRPr="00130AF3">
        <w:rPr>
          <w:rFonts w:eastAsia="Times New Roman"/>
          <w:color w:val="000000"/>
          <w:shd w:val="clear" w:color="auto" w:fill="FFFFFF"/>
        </w:rPr>
        <w:t>increase costs (Mnookin et al., 2000) to</w:t>
      </w:r>
      <w:r>
        <w:rPr>
          <w:rFonts w:eastAsia="Times New Roman"/>
          <w:color w:val="000000"/>
          <w:shd w:val="clear" w:color="auto" w:fill="FFFFFF"/>
        </w:rPr>
        <w:t xml:space="preserve"> satisfy their misaligned interests. Accordingly, agency may play a role in the systematic and costly </w:t>
      </w:r>
      <w:r w:rsidRPr="00414149">
        <w:rPr>
          <w:rFonts w:eastAsia="Times New Roman"/>
          <w:color w:val="000000"/>
          <w:shd w:val="clear" w:color="auto" w:fill="FFFFFF"/>
        </w:rPr>
        <w:t xml:space="preserve">divorce settlement delays observed in </w:t>
      </w:r>
      <w:r w:rsidRPr="00C97FAF">
        <w:rPr>
          <w:rFonts w:eastAsia="Times New Roman"/>
          <w:color w:val="000000"/>
          <w:shd w:val="clear" w:color="auto" w:fill="FFFFFF"/>
        </w:rPr>
        <w:t>practice (Sullivan, 2016; Ministry of Justice, 2021), and the more pervasive ‘courthouse steps’</w:t>
      </w:r>
      <w:r w:rsidR="00512056" w:rsidRPr="00C97FAF">
        <w:rPr>
          <w:rStyle w:val="FootnoteReference"/>
          <w:rFonts w:eastAsia="Times New Roman"/>
          <w:color w:val="000000"/>
          <w:shd w:val="clear" w:color="auto" w:fill="FFFFFF"/>
        </w:rPr>
        <w:footnoteReference w:id="5"/>
      </w:r>
      <w:r w:rsidR="00512056" w:rsidRPr="00C97FAF">
        <w:rPr>
          <w:rFonts w:eastAsia="Times New Roman"/>
          <w:color w:val="000000"/>
          <w:shd w:val="clear" w:color="auto" w:fill="FFFFFF"/>
        </w:rPr>
        <w:t xml:space="preserve"> </w:t>
      </w:r>
      <w:r w:rsidRPr="00C97FAF">
        <w:rPr>
          <w:rFonts w:eastAsia="Times New Roman"/>
          <w:color w:val="000000"/>
          <w:shd w:val="clear" w:color="auto" w:fill="FFFFFF"/>
        </w:rPr>
        <w:t>phenomenon (Korobkin</w:t>
      </w:r>
      <w:r w:rsidRPr="00CF4271">
        <w:rPr>
          <w:rFonts w:eastAsia="Times New Roman"/>
          <w:color w:val="000000"/>
          <w:shd w:val="clear" w:color="auto" w:fill="FFFFFF"/>
        </w:rPr>
        <w:t xml:space="preserve"> and Guthrie, </w:t>
      </w:r>
      <w:r w:rsidRPr="00E651D4">
        <w:rPr>
          <w:rFonts w:eastAsia="Times New Roman"/>
          <w:color w:val="000000"/>
          <w:shd w:val="clear" w:color="auto" w:fill="FFFFFF"/>
        </w:rPr>
        <w:t>1994; Woolf, 1997; Guthrie</w:t>
      </w:r>
      <w:r w:rsidRPr="00DA2021">
        <w:rPr>
          <w:rFonts w:eastAsia="Times New Roman"/>
          <w:color w:val="000000"/>
          <w:shd w:val="clear" w:color="auto" w:fill="FFFFFF"/>
        </w:rPr>
        <w:t xml:space="preserve">, </w:t>
      </w:r>
      <w:r w:rsidRPr="00C97FAF">
        <w:rPr>
          <w:rFonts w:eastAsia="Times New Roman"/>
          <w:color w:val="000000"/>
          <w:shd w:val="clear" w:color="auto" w:fill="FFFFFF"/>
        </w:rPr>
        <w:t>1999; Mnookin et al., 2000; Wistrich and Rachlinski, 2013),</w:t>
      </w:r>
      <w:r w:rsidRPr="00481418">
        <w:rPr>
          <w:rFonts w:eastAsia="Times New Roman"/>
          <w:color w:val="000000"/>
          <w:shd w:val="clear" w:color="auto" w:fill="FFFFFF"/>
        </w:rPr>
        <w:t xml:space="preserve"> warranting further investigation. In what follows</w:t>
      </w:r>
      <w:r w:rsidRPr="004C7FE3">
        <w:rPr>
          <w:rFonts w:eastAsia="Times New Roman"/>
          <w:color w:val="000000"/>
          <w:shd w:val="clear" w:color="auto" w:fill="FFFFFF"/>
        </w:rPr>
        <w:t>, the</w:t>
      </w:r>
      <w:r w:rsidR="00B8729E" w:rsidRPr="00B8729E">
        <w:rPr>
          <w:rFonts w:eastAsia="Times New Roman"/>
        </w:rPr>
        <w:t xml:space="preserve"> </w:t>
      </w:r>
      <w:r w:rsidR="00B8729E">
        <w:rPr>
          <w:rFonts w:eastAsia="Times New Roman"/>
        </w:rPr>
        <w:t>IDBG</w:t>
      </w:r>
      <w:r w:rsidR="00B8729E" w:rsidRPr="004C7FE3">
        <w:rPr>
          <w:rFonts w:eastAsia="Times New Roman"/>
          <w:color w:val="000000"/>
          <w:shd w:val="clear" w:color="auto" w:fill="FFFFFF"/>
        </w:rPr>
        <w:t xml:space="preserve"> </w:t>
      </w:r>
      <w:r w:rsidRPr="004C7FE3">
        <w:rPr>
          <w:rFonts w:eastAsia="Times New Roman"/>
          <w:color w:val="000000"/>
          <w:shd w:val="clear" w:color="auto" w:fill="FFFFFF"/>
        </w:rPr>
        <w:t xml:space="preserve">is extended to incorporate various parameters of divorce-bargaining, including the lawyers’ fee-arrangements, the prospect of trials and the lawyers’ long-term reputational incentives. Comparative statics are utilised to evaluate the ‘timing’ of settlements by reviewing how these parameters promote over/under investment with respect to the integrative and </w:t>
      </w:r>
      <w:r>
        <w:rPr>
          <w:rFonts w:eastAsia="Times New Roman"/>
          <w:color w:val="000000"/>
          <w:shd w:val="clear" w:color="auto" w:fill="FFFFFF"/>
        </w:rPr>
        <w:t xml:space="preserve">client </w:t>
      </w:r>
      <w:r w:rsidRPr="004C7FE3">
        <w:rPr>
          <w:rFonts w:eastAsia="Times New Roman"/>
          <w:color w:val="000000"/>
          <w:shd w:val="clear" w:color="auto" w:fill="FFFFFF"/>
        </w:rPr>
        <w:t>welfare maximising outcome. Consistent with the ‘courthouse steps’ phenomenon</w:t>
      </w:r>
      <w:r>
        <w:rPr>
          <w:rFonts w:eastAsia="Times New Roman"/>
          <w:color w:val="000000"/>
          <w:shd w:val="clear" w:color="auto" w:fill="FFFFFF"/>
        </w:rPr>
        <w:t xml:space="preserve">, analysis predicts systematic settlement delays until just prior to trial. This prediction is robust to all parameters considered here. The </w:t>
      </w:r>
      <w:r w:rsidRPr="004C7FE3">
        <w:rPr>
          <w:rFonts w:eastAsia="Times New Roman"/>
          <w:color w:val="000000"/>
          <w:shd w:val="clear" w:color="auto" w:fill="FFFFFF"/>
        </w:rPr>
        <w:t>main implications are the propositions that a lawyer’s reputation may be a noisy signal of interest-alignment, and reputational incentives may not sufficiently deter purposeful deviations from the integrative outcome</w:t>
      </w:r>
      <w:r>
        <w:rPr>
          <w:rFonts w:eastAsia="Times New Roman"/>
          <w:color w:val="000000"/>
          <w:shd w:val="clear" w:color="auto" w:fill="FFFFFF"/>
        </w:rPr>
        <w:t xml:space="preserve"> in real-life divorce-bargaining</w:t>
      </w:r>
      <w:r w:rsidRPr="004C7FE3">
        <w:rPr>
          <w:rFonts w:eastAsia="Times New Roman"/>
          <w:color w:val="000000"/>
          <w:shd w:val="clear" w:color="auto" w:fill="FFFFFF"/>
        </w:rPr>
        <w:t xml:space="preserve">. </w:t>
      </w:r>
      <w:r>
        <w:rPr>
          <w:rFonts w:eastAsia="Times New Roman"/>
          <w:color w:val="000000"/>
          <w:shd w:val="clear" w:color="auto" w:fill="FFFFFF"/>
        </w:rPr>
        <w:t xml:space="preserve">Potential solutions, to curb settlement delays and increase the incidence of integrative outcomes, are considered. This paper may therefore be of interest to policy makers and regulatory stakeholders who are concerned with the costs and delays of civil litigation. </w:t>
      </w:r>
    </w:p>
    <w:p w14:paraId="7983558D" w14:textId="77777777" w:rsidR="00B54813" w:rsidRPr="00670E3F" w:rsidRDefault="00B54813" w:rsidP="00B54813">
      <w:pPr>
        <w:spacing w:line="360" w:lineRule="auto"/>
        <w:rPr>
          <w:color w:val="FF0000"/>
        </w:rPr>
      </w:pPr>
    </w:p>
    <w:p w14:paraId="3E75FCCE" w14:textId="77777777" w:rsidR="00B54813" w:rsidRPr="00B26AD2" w:rsidRDefault="00B54813" w:rsidP="00B54813">
      <w:pPr>
        <w:pStyle w:val="ListParagraph"/>
        <w:numPr>
          <w:ilvl w:val="0"/>
          <w:numId w:val="1"/>
        </w:numPr>
        <w:spacing w:line="360" w:lineRule="auto"/>
        <w:rPr>
          <w:rFonts w:eastAsia="Times New Roman"/>
          <w:b/>
          <w:color w:val="000000" w:themeColor="text1"/>
          <w:shd w:val="clear" w:color="auto" w:fill="FFFFFF"/>
        </w:rPr>
      </w:pPr>
      <w:r w:rsidRPr="003674FB">
        <w:rPr>
          <w:rFonts w:eastAsia="Times New Roman"/>
          <w:b/>
          <w:color w:val="000000"/>
          <w:shd w:val="clear" w:color="auto" w:fill="FFFFFF"/>
        </w:rPr>
        <w:t xml:space="preserve">Literature Review </w:t>
      </w:r>
    </w:p>
    <w:p w14:paraId="4F704AF8" w14:textId="77777777" w:rsidR="00B54813" w:rsidRPr="00B26AD2" w:rsidRDefault="00B54813" w:rsidP="00B54813">
      <w:pPr>
        <w:pStyle w:val="ListParagraph"/>
        <w:spacing w:line="360" w:lineRule="auto"/>
        <w:rPr>
          <w:rFonts w:eastAsia="Times New Roman"/>
          <w:b/>
          <w:color w:val="000000" w:themeColor="text1"/>
          <w:shd w:val="clear" w:color="auto" w:fill="FFFFFF"/>
        </w:rPr>
      </w:pPr>
    </w:p>
    <w:p w14:paraId="21F8E7A9" w14:textId="77777777" w:rsidR="00B54813" w:rsidRPr="00764DE6" w:rsidRDefault="00B54813" w:rsidP="00B54813">
      <w:pPr>
        <w:pStyle w:val="ListParagraph"/>
        <w:numPr>
          <w:ilvl w:val="1"/>
          <w:numId w:val="1"/>
        </w:numPr>
        <w:spacing w:line="360" w:lineRule="auto"/>
        <w:rPr>
          <w:rFonts w:eastAsia="Times New Roman"/>
          <w:b/>
          <w:color w:val="000000" w:themeColor="text1"/>
          <w:shd w:val="clear" w:color="auto" w:fill="FFFFFF"/>
        </w:rPr>
      </w:pPr>
      <w:r w:rsidRPr="00764DE6">
        <w:rPr>
          <w:rFonts w:eastAsia="Times New Roman"/>
          <w:b/>
          <w:color w:val="000000" w:themeColor="text1"/>
          <w:shd w:val="clear" w:color="auto" w:fill="FFFFFF"/>
        </w:rPr>
        <w:t xml:space="preserve">The Principal-Agent Model </w:t>
      </w:r>
    </w:p>
    <w:p w14:paraId="64DBF085" w14:textId="77777777" w:rsidR="00B54813" w:rsidRPr="000C36E1" w:rsidRDefault="00B54813" w:rsidP="00B54813">
      <w:pPr>
        <w:spacing w:line="360" w:lineRule="auto"/>
        <w:rPr>
          <w:rFonts w:eastAsia="Times New Roman"/>
          <w:color w:val="000000"/>
          <w:shd w:val="clear" w:color="auto" w:fill="FFFFFF"/>
        </w:rPr>
      </w:pPr>
      <w:r w:rsidRPr="000C36E1">
        <w:rPr>
          <w:rFonts w:eastAsia="Times New Roman"/>
          <w:color w:val="000000" w:themeColor="text1"/>
          <w:shd w:val="clear" w:color="auto" w:fill="FFFFFF"/>
        </w:rPr>
        <w:t xml:space="preserve">A principal will delegate some discretion over their decision-making when engaging an agent. The latter becomes mandated to choose between actions, the outcome of which affects the welfare </w:t>
      </w:r>
      <w:r w:rsidRPr="007B2CB8">
        <w:rPr>
          <w:rFonts w:eastAsia="Times New Roman"/>
          <w:color w:val="000000" w:themeColor="text1"/>
          <w:shd w:val="clear" w:color="auto" w:fill="FFFFFF"/>
        </w:rPr>
        <w:t xml:space="preserve">of both parties (Arrow, 1984). </w:t>
      </w:r>
      <w:r w:rsidRPr="007B2CB8">
        <w:rPr>
          <w:rFonts w:eastAsia="Times New Roman"/>
          <w:color w:val="000000"/>
          <w:shd w:val="clear" w:color="auto" w:fill="FFFFFF"/>
        </w:rPr>
        <w:t>In bargaining</w:t>
      </w:r>
      <w:r w:rsidRPr="000C36E1">
        <w:rPr>
          <w:rFonts w:eastAsia="Times New Roman"/>
          <w:color w:val="000000"/>
          <w:shd w:val="clear" w:color="auto" w:fill="FFFFFF"/>
        </w:rPr>
        <w:t xml:space="preserve">, delegation may be motivated by the agent’s bargaining skills, familiarity with the subject matter, network, and ability to commit to positions more </w:t>
      </w:r>
      <w:r w:rsidRPr="00CF4271">
        <w:rPr>
          <w:rFonts w:eastAsia="Times New Roman"/>
          <w:color w:val="000000"/>
          <w:shd w:val="clear" w:color="auto" w:fill="FFFFFF"/>
        </w:rPr>
        <w:t>effectively (Lax and Sebenius, 1986). In an ideal</w:t>
      </w:r>
      <w:r w:rsidRPr="000C36E1">
        <w:rPr>
          <w:rFonts w:eastAsia="Times New Roman"/>
          <w:color w:val="000000"/>
          <w:shd w:val="clear" w:color="auto" w:fill="FFFFFF"/>
        </w:rPr>
        <w:t xml:space="preserve"> world, characterised by perfect information</w:t>
      </w:r>
      <w:r w:rsidRPr="00B07B0C">
        <w:rPr>
          <w:rFonts w:eastAsia="Times New Roman"/>
          <w:color w:val="000000"/>
          <w:shd w:val="clear" w:color="auto" w:fill="FFFFFF"/>
        </w:rPr>
        <w:t xml:space="preserve">, principals would be capable of accurately and objectively evaluating their agent’s </w:t>
      </w:r>
      <w:r w:rsidRPr="00BD32A9">
        <w:rPr>
          <w:rFonts w:eastAsia="Times New Roman"/>
          <w:color w:val="000000"/>
          <w:shd w:val="clear" w:color="auto" w:fill="FFFFFF"/>
        </w:rPr>
        <w:t>decisions, yet perfect information is rarely available to all parties involved (Pratt and Zeckhauser, 1985). The act of</w:t>
      </w:r>
      <w:r w:rsidRPr="00B07B0C">
        <w:rPr>
          <w:rFonts w:eastAsia="Times New Roman"/>
          <w:color w:val="000000"/>
          <w:shd w:val="clear" w:color="auto" w:fill="FFFFFF"/>
        </w:rPr>
        <w:t xml:space="preserve"> delegation itself means that the agent may possess </w:t>
      </w:r>
      <w:r w:rsidRPr="00BD32A9">
        <w:rPr>
          <w:rFonts w:eastAsia="Times New Roman"/>
          <w:color w:val="000000"/>
          <w:shd w:val="clear" w:color="auto" w:fill="FFFFFF"/>
        </w:rPr>
        <w:t>information that is not readily available to the principal (Laffont and Mortimort, 2002), and so, inevitably, there will be differences in preferences, incentives and information (Mnookin et al., 2000). This</w:t>
      </w:r>
      <w:r w:rsidRPr="00B07B0C">
        <w:rPr>
          <w:rFonts w:eastAsia="Times New Roman"/>
          <w:color w:val="000000"/>
          <w:shd w:val="clear" w:color="auto" w:fill="FFFFFF"/>
        </w:rPr>
        <w:t xml:space="preserve"> asymmetric information, renders the principal unable to effectively judge what motivations the agent possesses</w:t>
      </w:r>
      <w:r w:rsidRPr="000C36E1">
        <w:rPr>
          <w:rFonts w:eastAsia="Times New Roman"/>
          <w:color w:val="000000"/>
          <w:shd w:val="clear" w:color="auto" w:fill="FFFFFF"/>
        </w:rPr>
        <w:t xml:space="preserve"> or the actions they </w:t>
      </w:r>
      <w:r w:rsidRPr="00C97FAF">
        <w:rPr>
          <w:rFonts w:eastAsia="Times New Roman"/>
          <w:color w:val="000000"/>
          <w:shd w:val="clear" w:color="auto" w:fill="FFFFFF"/>
        </w:rPr>
        <w:t>should undertake (Stiglitz, 1989). Thus, the principal remains incapable of independently determining whether the agent’s</w:t>
      </w:r>
      <w:r w:rsidRPr="000C36E1">
        <w:rPr>
          <w:rFonts w:eastAsia="Times New Roman"/>
          <w:color w:val="000000"/>
          <w:shd w:val="clear" w:color="auto" w:fill="FFFFFF"/>
        </w:rPr>
        <w:t xml:space="preserve"> actions are as </w:t>
      </w:r>
      <w:r w:rsidRPr="007B2CB8">
        <w:rPr>
          <w:rFonts w:eastAsia="Times New Roman"/>
          <w:color w:val="000000"/>
          <w:shd w:val="clear" w:color="auto" w:fill="FFFFFF"/>
        </w:rPr>
        <w:t>diligent as possible (Arrow, 1984).</w:t>
      </w:r>
      <w:r w:rsidRPr="000C36E1">
        <w:rPr>
          <w:rFonts w:eastAsia="Times New Roman"/>
          <w:color w:val="000000"/>
          <w:shd w:val="clear" w:color="auto" w:fill="FFFFFF"/>
        </w:rPr>
        <w:t xml:space="preserve"> </w:t>
      </w:r>
    </w:p>
    <w:p w14:paraId="2B723F63" w14:textId="77777777" w:rsidR="00DA1A21" w:rsidRDefault="00DA1A21" w:rsidP="00B54813">
      <w:pPr>
        <w:spacing w:line="360" w:lineRule="auto"/>
        <w:rPr>
          <w:rFonts w:eastAsia="Times New Roman"/>
          <w:color w:val="000000"/>
          <w:shd w:val="clear" w:color="auto" w:fill="FFFFFF"/>
        </w:rPr>
      </w:pPr>
    </w:p>
    <w:p w14:paraId="7784A5EE" w14:textId="39A33B84" w:rsidR="00B54813" w:rsidRPr="004C7FE3" w:rsidRDefault="00B54813" w:rsidP="00B54813">
      <w:pPr>
        <w:spacing w:line="360" w:lineRule="auto"/>
        <w:rPr>
          <w:rFonts w:eastAsia="Times New Roman"/>
          <w:color w:val="000000"/>
          <w:shd w:val="clear" w:color="auto" w:fill="FFFFFF"/>
        </w:rPr>
      </w:pPr>
      <w:r>
        <w:rPr>
          <w:rFonts w:eastAsia="Times New Roman"/>
          <w:color w:val="000000"/>
          <w:shd w:val="clear" w:color="auto" w:fill="FFFFFF"/>
        </w:rPr>
        <w:t xml:space="preserve">The involvement of lawyers may be justified if, among other reasons, lawyers are capable of facilitating Pareto-superior outcomes and ensuring outcomes adhere to applicable norms </w:t>
      </w:r>
      <w:r w:rsidRPr="00DA2021">
        <w:rPr>
          <w:rFonts w:eastAsia="Times New Roman"/>
          <w:color w:val="000000"/>
          <w:shd w:val="clear" w:color="auto" w:fill="FFFFFF"/>
        </w:rPr>
        <w:t>(Halla, 2007). In the domain</w:t>
      </w:r>
      <w:r w:rsidRPr="005B3595">
        <w:rPr>
          <w:rFonts w:eastAsia="Times New Roman"/>
          <w:color w:val="000000"/>
          <w:shd w:val="clear" w:color="auto" w:fill="FFFFFF"/>
        </w:rPr>
        <w:t xml:space="preserve"> of divorce, lawyers may facilitate cooperation and collaborative problem-solving, which</w:t>
      </w:r>
      <w:r>
        <w:rPr>
          <w:rFonts w:eastAsia="Times New Roman"/>
          <w:color w:val="000000"/>
          <w:shd w:val="clear" w:color="auto" w:fill="FFFFFF"/>
        </w:rPr>
        <w:t xml:space="preserve"> may otherwise be inhibited by strong emotions and the spouses’ inexperience. </w:t>
      </w:r>
      <w:r w:rsidR="00092F70">
        <w:rPr>
          <w:rFonts w:eastAsia="Times New Roman"/>
          <w:color w:val="000000"/>
          <w:shd w:val="clear" w:color="auto" w:fill="FFFFFF"/>
        </w:rPr>
        <w:t xml:space="preserve">For </w:t>
      </w:r>
      <w:r w:rsidR="00092F70" w:rsidRPr="00DA2021">
        <w:rPr>
          <w:rFonts w:eastAsia="Times New Roman"/>
          <w:color w:val="000000"/>
          <w:shd w:val="clear" w:color="auto" w:fill="FFFFFF"/>
        </w:rPr>
        <w:t xml:space="preserve">example, </w:t>
      </w:r>
      <w:r w:rsidR="00092F70" w:rsidRPr="00DA2021">
        <w:rPr>
          <w:color w:val="000000" w:themeColor="text1"/>
        </w:rPr>
        <w:t>Gilson and Mnookin (1994) considered</w:t>
      </w:r>
      <w:r w:rsidR="00092F70" w:rsidRPr="00092F70">
        <w:rPr>
          <w:color w:val="000000" w:themeColor="text1"/>
        </w:rPr>
        <w:t xml:space="preserve"> the critical role lawyers may possess when it comes to collaborative and joint-problem solving, especially considering the clients’ inexperience or negative relations towards each other. </w:t>
      </w:r>
      <w:r>
        <w:rPr>
          <w:rFonts w:eastAsia="Times New Roman"/>
          <w:color w:val="000000"/>
          <w:shd w:val="clear" w:color="auto" w:fill="FFFFFF"/>
        </w:rPr>
        <w:t>Nevertheless, o</w:t>
      </w:r>
      <w:r w:rsidRPr="003674FB">
        <w:rPr>
          <w:rFonts w:eastAsia="Times New Roman"/>
          <w:color w:val="000000"/>
          <w:shd w:val="clear" w:color="auto" w:fill="FFFFFF"/>
        </w:rPr>
        <w:t xml:space="preserve">n the assumption that some individuals are at least sometimes inclined towards </w:t>
      </w:r>
      <w:r w:rsidRPr="00F13B00">
        <w:rPr>
          <w:rFonts w:eastAsia="Times New Roman"/>
          <w:color w:val="000000"/>
          <w:shd w:val="clear" w:color="auto" w:fill="FFFFFF"/>
        </w:rPr>
        <w:t xml:space="preserve">opportunism </w:t>
      </w:r>
      <w:r w:rsidRPr="00E651D4">
        <w:rPr>
          <w:rFonts w:eastAsia="Times New Roman"/>
          <w:color w:val="000000" w:themeColor="text1"/>
          <w:shd w:val="clear" w:color="auto" w:fill="FFFFFF"/>
        </w:rPr>
        <w:t>(Williamson, 1989), it is</w:t>
      </w:r>
      <w:r w:rsidRPr="00F13B00">
        <w:rPr>
          <w:rFonts w:eastAsia="Times New Roman"/>
          <w:color w:val="000000" w:themeColor="text1"/>
          <w:shd w:val="clear" w:color="auto" w:fill="FFFFFF"/>
        </w:rPr>
        <w:t xml:space="preserve"> reasonable</w:t>
      </w:r>
      <w:r w:rsidRPr="005F7E46">
        <w:rPr>
          <w:rFonts w:eastAsia="Times New Roman"/>
          <w:color w:val="000000" w:themeColor="text1"/>
          <w:shd w:val="clear" w:color="auto" w:fill="FFFFFF"/>
        </w:rPr>
        <w:t xml:space="preserve"> to expect that lawyers m</w:t>
      </w:r>
      <w:r w:rsidRPr="00D17A4F">
        <w:rPr>
          <w:rFonts w:eastAsia="Times New Roman"/>
          <w:color w:val="000000" w:themeColor="text1"/>
          <w:shd w:val="clear" w:color="auto" w:fill="FFFFFF"/>
        </w:rPr>
        <w:t xml:space="preserve">ay not always act in their (boundedly rational) client’s best </w:t>
      </w:r>
      <w:r w:rsidRPr="00130AF3">
        <w:rPr>
          <w:rFonts w:eastAsia="Times New Roman"/>
          <w:color w:val="000000" w:themeColor="text1"/>
          <w:shd w:val="clear" w:color="auto" w:fill="FFFFFF"/>
        </w:rPr>
        <w:t>interests (Jensen and Meckling, 1976; Miller, 1987; Lax and Sebenius, 1986; Mnookin et al., 2000; Halla, 2007; Robbennolt, 2014). Asymmetric</w:t>
      </w:r>
      <w:r w:rsidRPr="00B07B0C">
        <w:rPr>
          <w:rFonts w:eastAsia="Times New Roman"/>
          <w:color w:val="000000" w:themeColor="text1"/>
          <w:shd w:val="clear" w:color="auto" w:fill="FFFFFF"/>
        </w:rPr>
        <w:t xml:space="preserve"> </w:t>
      </w:r>
      <w:r w:rsidRPr="00E651D4">
        <w:rPr>
          <w:rFonts w:eastAsia="Times New Roman"/>
          <w:color w:val="000000"/>
          <w:shd w:val="clear" w:color="auto" w:fill="FFFFFF"/>
        </w:rPr>
        <w:t>information may provide opportunity for, and induce, opportunistic behaviour through what Williamson (1989) described</w:t>
      </w:r>
      <w:r w:rsidRPr="005F7E46">
        <w:rPr>
          <w:rFonts w:eastAsia="Times New Roman"/>
          <w:color w:val="000000"/>
          <w:shd w:val="clear" w:color="auto" w:fill="FFFFFF"/>
        </w:rPr>
        <w:t xml:space="preserve"> as disclosure in a selective and distorted manner. For example, asymmetric information may give rise to moral hazard </w:t>
      </w:r>
      <w:r w:rsidRPr="00F13B00">
        <w:rPr>
          <w:rFonts w:eastAsia="Times New Roman"/>
          <w:color w:val="000000"/>
          <w:shd w:val="clear" w:color="auto" w:fill="FFFFFF"/>
        </w:rPr>
        <w:t>because of the lawyer’s reduced incentives to guard against risk. Calculated efforts to mislead (Williamson</w:t>
      </w:r>
      <w:r w:rsidRPr="003A2F6A">
        <w:rPr>
          <w:rFonts w:eastAsia="Times New Roman"/>
          <w:color w:val="000000"/>
          <w:shd w:val="clear" w:color="auto" w:fill="FFFFFF"/>
        </w:rPr>
        <w:t xml:space="preserve">, 1989) may include deliberate attempts to inflate or pad </w:t>
      </w:r>
      <w:r w:rsidRPr="00CF4271">
        <w:rPr>
          <w:rFonts w:eastAsia="Times New Roman"/>
          <w:color w:val="000000"/>
          <w:shd w:val="clear" w:color="auto" w:fill="FFFFFF"/>
        </w:rPr>
        <w:t>bills (Langevoort and Rasmussen, 1997). Indeed</w:t>
      </w:r>
      <w:r w:rsidRPr="00B07B0C">
        <w:rPr>
          <w:rFonts w:eastAsia="Times New Roman"/>
          <w:color w:val="000000"/>
          <w:shd w:val="clear" w:color="auto" w:fill="FFFFFF"/>
        </w:rPr>
        <w:t xml:space="preserve">, </w:t>
      </w:r>
      <w:r w:rsidRPr="00C97FAF">
        <w:rPr>
          <w:rFonts w:eastAsia="Times New Roman"/>
          <w:color w:val="000000"/>
          <w:shd w:val="clear" w:color="auto" w:fill="FFFFFF"/>
        </w:rPr>
        <w:t>Rhode (1985) argued that</w:t>
      </w:r>
      <w:r w:rsidRPr="003674FB">
        <w:rPr>
          <w:rFonts w:eastAsia="Times New Roman"/>
          <w:color w:val="000000"/>
          <w:shd w:val="clear" w:color="auto" w:fill="FFFFFF"/>
        </w:rPr>
        <w:t xml:space="preserve"> attorneys may face considerable temptation to prolong tasks when paid hourly-rates and clients are unable to monitor performance. </w:t>
      </w:r>
      <w:r w:rsidRPr="004C7FE3">
        <w:rPr>
          <w:rFonts w:eastAsia="Times New Roman"/>
          <w:color w:val="000000"/>
          <w:shd w:val="clear" w:color="auto" w:fill="FFFFFF"/>
        </w:rPr>
        <w:t xml:space="preserve">These agency problems may be exacerbated in the legal domain given the </w:t>
      </w:r>
      <w:r w:rsidRPr="00580479">
        <w:rPr>
          <w:rFonts w:eastAsia="Times New Roman"/>
          <w:color w:val="000000"/>
          <w:shd w:val="clear" w:color="auto" w:fill="FFFFFF"/>
        </w:rPr>
        <w:t>difficulties in evaluating a lawyer’s performance, even ex-post</w:t>
      </w:r>
      <w:r w:rsidRPr="00DA2021">
        <w:rPr>
          <w:rFonts w:eastAsia="Times New Roman"/>
          <w:color w:val="000000"/>
          <w:shd w:val="clear" w:color="auto" w:fill="FFFFFF"/>
        </w:rPr>
        <w:t>. In fact, Hadfield (2000)</w:t>
      </w:r>
      <w:r w:rsidRPr="00580479">
        <w:rPr>
          <w:rFonts w:eastAsia="Times New Roman"/>
          <w:color w:val="000000"/>
          <w:shd w:val="clear" w:color="auto" w:fill="FFFFFF"/>
        </w:rPr>
        <w:t xml:space="preserve"> argued that legal services constitute a credence good since clients are often unable</w:t>
      </w:r>
      <w:r w:rsidRPr="004C7FE3">
        <w:rPr>
          <w:rFonts w:eastAsia="Times New Roman"/>
          <w:color w:val="000000"/>
          <w:shd w:val="clear" w:color="auto" w:fill="FFFFFF"/>
        </w:rPr>
        <w:t xml:space="preserve"> to assess how much service they require, how wel</w:t>
      </w:r>
      <w:r w:rsidRPr="00DA1A21">
        <w:rPr>
          <w:rFonts w:eastAsia="Times New Roman"/>
          <w:color w:val="000000"/>
          <w:shd w:val="clear" w:color="auto" w:fill="FFFFFF"/>
        </w:rPr>
        <w:t xml:space="preserve">l the service was performed and are dependent on the lawyer who determines the client’s needs. Similarly, </w:t>
      </w:r>
      <w:r w:rsidR="00130AF3">
        <w:rPr>
          <w:rFonts w:eastAsia="Times New Roman"/>
          <w:color w:val="000000"/>
          <w:shd w:val="clear" w:color="auto" w:fill="FFFFFF"/>
        </w:rPr>
        <w:t xml:space="preserve">Seldeslachts (2016) </w:t>
      </w:r>
      <w:r w:rsidRPr="00DA1A21">
        <w:rPr>
          <w:rFonts w:eastAsia="Times New Roman"/>
          <w:color w:val="000000"/>
          <w:shd w:val="clear" w:color="auto" w:fill="FFFFFF"/>
        </w:rPr>
        <w:t>considered</w:t>
      </w:r>
      <w:r>
        <w:rPr>
          <w:rFonts w:eastAsia="Times New Roman"/>
          <w:color w:val="000000"/>
          <w:shd w:val="clear" w:color="auto" w:fill="FFFFFF"/>
        </w:rPr>
        <w:t xml:space="preserve"> how clients are incapable of judging the time that contributes to a certain positive outcome and further argued that clients typically do not know which services they need, nor do they know how much they should be paying for the</w:t>
      </w:r>
      <w:r w:rsidR="00EE0446">
        <w:rPr>
          <w:rFonts w:eastAsia="Times New Roman"/>
          <w:color w:val="000000"/>
          <w:shd w:val="clear" w:color="auto" w:fill="FFFFFF"/>
        </w:rPr>
        <w:t>m.</w:t>
      </w:r>
      <w:r>
        <w:rPr>
          <w:rFonts w:eastAsia="Times New Roman"/>
          <w:color w:val="000000"/>
          <w:shd w:val="clear" w:color="auto" w:fill="FFFFFF"/>
        </w:rPr>
        <w:t xml:space="preserve"> The issue of asymmetric information is likely to be exacerbated in divorce, given the typical involvement of one-shot divorcees who are inexperienced in the legal domain. </w:t>
      </w:r>
      <w:r w:rsidR="006C58EC">
        <w:rPr>
          <w:rFonts w:eastAsia="Times New Roman"/>
          <w:color w:val="000000"/>
          <w:shd w:val="clear" w:color="auto" w:fill="FFFFFF"/>
        </w:rPr>
        <w:t xml:space="preserve">Indeed, </w:t>
      </w:r>
      <w:r w:rsidR="006C58EC" w:rsidRPr="00130AF3">
        <w:rPr>
          <w:rFonts w:eastAsia="Times New Roman"/>
          <w:color w:val="000000"/>
          <w:shd w:val="clear" w:color="auto" w:fill="FFFFFF"/>
        </w:rPr>
        <w:t>Mather and McEwen (2012) consider</w:t>
      </w:r>
      <w:r w:rsidR="006C58EC">
        <w:rPr>
          <w:rFonts w:eastAsia="Times New Roman"/>
          <w:color w:val="000000"/>
          <w:shd w:val="clear" w:color="auto" w:fill="FFFFFF"/>
        </w:rPr>
        <w:t xml:space="preserve"> how many divorce clients have little or no </w:t>
      </w:r>
      <w:r w:rsidR="001F1DC9">
        <w:rPr>
          <w:rFonts w:eastAsia="Times New Roman"/>
          <w:color w:val="000000"/>
          <w:shd w:val="clear" w:color="auto" w:fill="FFFFFF"/>
        </w:rPr>
        <w:t xml:space="preserve">legal </w:t>
      </w:r>
      <w:r w:rsidR="006C58EC">
        <w:rPr>
          <w:rFonts w:eastAsia="Times New Roman"/>
          <w:color w:val="000000"/>
          <w:shd w:val="clear" w:color="auto" w:fill="FFFFFF"/>
        </w:rPr>
        <w:t>experience</w:t>
      </w:r>
      <w:r w:rsidR="00AB5F62">
        <w:rPr>
          <w:rFonts w:eastAsia="Times New Roman"/>
          <w:color w:val="000000"/>
          <w:shd w:val="clear" w:color="auto" w:fill="FFFFFF"/>
        </w:rPr>
        <w:t xml:space="preserve">. </w:t>
      </w:r>
      <w:r>
        <w:rPr>
          <w:rFonts w:eastAsia="Times New Roman"/>
          <w:color w:val="000000"/>
          <w:shd w:val="clear" w:color="auto" w:fill="FFFFFF"/>
        </w:rPr>
        <w:t>Accordingly,</w:t>
      </w:r>
      <w:r w:rsidRPr="004C7FE3">
        <w:rPr>
          <w:rFonts w:eastAsia="Times New Roman"/>
          <w:color w:val="000000"/>
          <w:shd w:val="clear" w:color="auto" w:fill="FFFFFF"/>
        </w:rPr>
        <w:t xml:space="preserve"> overlooking agency in </w:t>
      </w:r>
      <w:r>
        <w:rPr>
          <w:rFonts w:eastAsia="Times New Roman"/>
          <w:color w:val="000000"/>
          <w:shd w:val="clear" w:color="auto" w:fill="FFFFFF"/>
        </w:rPr>
        <w:t>divorce-bargaining</w:t>
      </w:r>
      <w:r w:rsidRPr="004C7FE3">
        <w:rPr>
          <w:rFonts w:eastAsia="Times New Roman"/>
          <w:color w:val="000000"/>
          <w:shd w:val="clear" w:color="auto" w:fill="FFFFFF"/>
        </w:rPr>
        <w:t xml:space="preserve"> games is a critical omission given the potential ease with which </w:t>
      </w:r>
      <w:r>
        <w:rPr>
          <w:rFonts w:eastAsia="Times New Roman"/>
          <w:color w:val="000000"/>
          <w:shd w:val="clear" w:color="auto" w:fill="FFFFFF"/>
        </w:rPr>
        <w:t>divorce-</w:t>
      </w:r>
      <w:r w:rsidRPr="004C7FE3">
        <w:rPr>
          <w:rFonts w:eastAsia="Times New Roman"/>
          <w:color w:val="000000"/>
          <w:shd w:val="clear" w:color="auto" w:fill="FFFFFF"/>
        </w:rPr>
        <w:t xml:space="preserve">lawyers may </w:t>
      </w:r>
      <w:r>
        <w:rPr>
          <w:rFonts w:eastAsia="Times New Roman"/>
          <w:color w:val="000000"/>
          <w:shd w:val="clear" w:color="auto" w:fill="FFFFFF"/>
        </w:rPr>
        <w:t xml:space="preserve">exploit </w:t>
      </w:r>
      <w:r w:rsidRPr="004C7FE3">
        <w:rPr>
          <w:rFonts w:eastAsia="Times New Roman"/>
          <w:color w:val="000000"/>
          <w:shd w:val="clear" w:color="auto" w:fill="FFFFFF"/>
        </w:rPr>
        <w:t>asymmetric information to serve t</w:t>
      </w:r>
      <w:r>
        <w:rPr>
          <w:rFonts w:eastAsia="Times New Roman"/>
          <w:color w:val="000000"/>
          <w:shd w:val="clear" w:color="auto" w:fill="FFFFFF"/>
        </w:rPr>
        <w:t xml:space="preserve">heir self-regarding interests. </w:t>
      </w:r>
    </w:p>
    <w:p w14:paraId="36DE894F" w14:textId="77777777" w:rsidR="00B54813" w:rsidRPr="003674FB" w:rsidRDefault="00B54813" w:rsidP="00B54813">
      <w:pPr>
        <w:spacing w:line="360" w:lineRule="auto"/>
        <w:rPr>
          <w:rFonts w:eastAsia="Times New Roman"/>
          <w:color w:val="000000" w:themeColor="text1"/>
          <w:shd w:val="clear" w:color="auto" w:fill="FFFFFF"/>
        </w:rPr>
      </w:pPr>
    </w:p>
    <w:p w14:paraId="12465A44" w14:textId="4CA58BB2" w:rsidR="00B54813" w:rsidRDefault="00B54813" w:rsidP="00B54813">
      <w:pPr>
        <w:spacing w:line="360" w:lineRule="auto"/>
        <w:rPr>
          <w:rFonts w:eastAsia="Times New Roman"/>
          <w:color w:val="000000"/>
          <w:shd w:val="clear" w:color="auto" w:fill="FFFFFF"/>
        </w:rPr>
      </w:pPr>
      <w:r w:rsidRPr="004C7FE3">
        <w:rPr>
          <w:rFonts w:eastAsia="Times New Roman"/>
          <w:color w:val="000000"/>
          <w:shd w:val="clear" w:color="auto" w:fill="FFFFFF"/>
        </w:rPr>
        <w:t xml:space="preserve">From a welfare </w:t>
      </w:r>
      <w:r w:rsidRPr="00C97FAF">
        <w:rPr>
          <w:rFonts w:eastAsia="Times New Roman"/>
          <w:color w:val="000000"/>
          <w:shd w:val="clear" w:color="auto" w:fill="FFFFFF"/>
        </w:rPr>
        <w:t xml:space="preserve">perspective, imperfect information will prevent society from achieving the best allocation of resources (Stiglitz, 1989). </w:t>
      </w:r>
      <w:r w:rsidR="001F1DC9">
        <w:rPr>
          <w:rFonts w:eastAsia="Times New Roman"/>
          <w:color w:val="000000"/>
          <w:shd w:val="clear" w:color="auto" w:fill="FFFFFF"/>
        </w:rPr>
        <w:t xml:space="preserve">An agent’s opportunistic behaviour will suppress their principal’s welfare, but these costs are possibly exacerbated within the divorce-law domain, given supplementary transaction costs, </w:t>
      </w:r>
      <w:r>
        <w:rPr>
          <w:rFonts w:eastAsia="Times New Roman"/>
          <w:color w:val="000000"/>
          <w:shd w:val="clear" w:color="auto" w:fill="FFFFFF"/>
        </w:rPr>
        <w:t>including</w:t>
      </w:r>
      <w:r w:rsidR="001F1DC9">
        <w:rPr>
          <w:rFonts w:eastAsia="Times New Roman"/>
          <w:color w:val="000000"/>
          <w:shd w:val="clear" w:color="auto" w:fill="FFFFFF"/>
        </w:rPr>
        <w:t xml:space="preserve"> psychological, emotional and social. </w:t>
      </w:r>
      <w:r w:rsidRPr="008F7A8E">
        <w:rPr>
          <w:rFonts w:eastAsia="Times New Roman"/>
          <w:color w:val="000000"/>
          <w:shd w:val="clear" w:color="auto" w:fill="FFFFFF"/>
        </w:rPr>
        <w:t>Consequently, principals may employ monitoring (Conlon and</w:t>
      </w:r>
      <w:r w:rsidR="00EE0446" w:rsidRPr="008F7A8E">
        <w:rPr>
          <w:rFonts w:eastAsia="Times New Roman"/>
          <w:color w:val="000000"/>
          <w:shd w:val="clear" w:color="auto" w:fill="FFFFFF"/>
        </w:rPr>
        <w:t xml:space="preserve"> Parks, 1990) </w:t>
      </w:r>
      <w:r w:rsidRPr="008F7A8E">
        <w:rPr>
          <w:rFonts w:eastAsia="Times New Roman"/>
          <w:color w:val="000000"/>
          <w:shd w:val="clear" w:color="auto" w:fill="FFFFFF"/>
        </w:rPr>
        <w:t>or performance</w:t>
      </w:r>
      <w:r w:rsidRPr="00EE0446">
        <w:rPr>
          <w:rFonts w:eastAsia="Times New Roman"/>
          <w:color w:val="000000"/>
          <w:shd w:val="clear" w:color="auto" w:fill="FFFFFF"/>
        </w:rPr>
        <w:t xml:space="preserve">-based </w:t>
      </w:r>
      <w:r w:rsidRPr="00DA2021">
        <w:rPr>
          <w:rFonts w:eastAsia="Times New Roman"/>
          <w:color w:val="000000"/>
          <w:shd w:val="clear" w:color="auto" w:fill="FFFFFF"/>
        </w:rPr>
        <w:t>incentives (</w:t>
      </w:r>
      <w:r w:rsidRPr="00CF4271">
        <w:rPr>
          <w:rFonts w:eastAsia="Times New Roman"/>
          <w:color w:val="000000"/>
          <w:shd w:val="clear" w:color="auto" w:fill="FFFFFF"/>
        </w:rPr>
        <w:t xml:space="preserve">Jensen and Zimmerman, 1985) to restrain agent self-interest and mitigate agency problems. For instance, </w:t>
      </w:r>
      <w:r w:rsidRPr="00CF4271">
        <w:rPr>
          <w:rFonts w:eastAsia="Times New Roman"/>
          <w:color w:val="000000" w:themeColor="text1"/>
          <w:shd w:val="clear" w:color="auto" w:fill="FFFFFF"/>
        </w:rPr>
        <w:t>Langevoort and Rasmussen (1997)</w:t>
      </w:r>
      <w:r w:rsidRPr="00580479">
        <w:rPr>
          <w:rFonts w:eastAsia="Times New Roman"/>
          <w:color w:val="000000" w:themeColor="text1"/>
          <w:shd w:val="clear" w:color="auto" w:fill="FFFFFF"/>
        </w:rPr>
        <w:t xml:space="preserve"> considered</w:t>
      </w:r>
      <w:r w:rsidRPr="004C7FE3">
        <w:rPr>
          <w:rFonts w:eastAsia="Times New Roman"/>
          <w:color w:val="000000" w:themeColor="text1"/>
          <w:shd w:val="clear" w:color="auto" w:fill="FFFFFF"/>
        </w:rPr>
        <w:t xml:space="preserve"> </w:t>
      </w:r>
      <w:r w:rsidRPr="004C7FE3">
        <w:rPr>
          <w:rFonts w:eastAsia="Times New Roman"/>
          <w:color w:val="000000"/>
          <w:shd w:val="clear" w:color="auto" w:fill="FFFFFF"/>
        </w:rPr>
        <w:t>how various devices, including in-house counsel or reviewing attorney bills may curb opportunity for strategic behaviour. However, incentives may not always produce the intended effects and monitoring is often expensive</w:t>
      </w:r>
      <w:r>
        <w:rPr>
          <w:rStyle w:val="FootnoteReference"/>
          <w:rFonts w:eastAsia="Times New Roman"/>
          <w:color w:val="000000"/>
          <w:shd w:val="clear" w:color="auto" w:fill="FFFFFF"/>
        </w:rPr>
        <w:footnoteReference w:id="6"/>
      </w:r>
      <w:r w:rsidRPr="004C7FE3">
        <w:rPr>
          <w:rFonts w:eastAsia="Times New Roman"/>
          <w:color w:val="000000"/>
          <w:shd w:val="clear" w:color="auto" w:fill="FFFFFF"/>
        </w:rPr>
        <w:t xml:space="preserve"> and </w:t>
      </w:r>
      <w:r w:rsidRPr="007B2CB8">
        <w:rPr>
          <w:rFonts w:eastAsia="Times New Roman"/>
          <w:color w:val="000000" w:themeColor="text1"/>
          <w:shd w:val="clear" w:color="auto" w:fill="FFFFFF"/>
        </w:rPr>
        <w:t>impractical</w:t>
      </w:r>
      <w:r w:rsidR="00CE0669" w:rsidRPr="007B2CB8">
        <w:rPr>
          <w:rStyle w:val="FootnoteReference"/>
          <w:rFonts w:eastAsia="Times New Roman"/>
          <w:color w:val="000000" w:themeColor="text1"/>
          <w:shd w:val="clear" w:color="auto" w:fill="FFFFFF"/>
        </w:rPr>
        <w:footnoteReference w:id="7"/>
      </w:r>
      <w:r w:rsidRPr="007B2CB8">
        <w:rPr>
          <w:rFonts w:eastAsia="Times New Roman"/>
          <w:color w:val="000000" w:themeColor="text1"/>
          <w:shd w:val="clear" w:color="auto" w:fill="FFFFFF"/>
        </w:rPr>
        <w:t xml:space="preserve"> (Aaldering et al., 2013).</w:t>
      </w:r>
      <w:r w:rsidRPr="009B2089">
        <w:rPr>
          <w:rFonts w:eastAsia="Times New Roman"/>
          <w:color w:val="000000"/>
          <w:shd w:val="clear" w:color="auto" w:fill="FFFFFF"/>
        </w:rPr>
        <w:t xml:space="preserve"> Notably</w:t>
      </w:r>
      <w:r w:rsidRPr="004C7FE3">
        <w:rPr>
          <w:rFonts w:eastAsia="Times New Roman"/>
          <w:color w:val="000000"/>
          <w:shd w:val="clear" w:color="auto" w:fill="FFFFFF"/>
        </w:rPr>
        <w:t>, the costs associated with implementing such mechanisms may conceivably force some clients to forego potential solutions, which may further supress consumer welfare. The utilisation of such mechanisms also assumes a certain level of sophistication among clients who in real-life may be, among other things, ignorant of agency problems and thus, have no incentive to invest in such costly mechanisms. Importantly, since a potential manifestation of opportunism may consist of lawyers who purposely impede settlements to maximise income; welfare implications may extend well beyond the negotiating table. Indeed, impediments will prolong disputes and in</w:t>
      </w:r>
      <w:r>
        <w:rPr>
          <w:rFonts w:eastAsia="Times New Roman"/>
          <w:color w:val="000000"/>
          <w:shd w:val="clear" w:color="auto" w:fill="FFFFFF"/>
        </w:rPr>
        <w:t xml:space="preserve">crease the likelihood of trials. This will inflict </w:t>
      </w:r>
      <w:r w:rsidRPr="004C7FE3">
        <w:rPr>
          <w:rFonts w:eastAsia="Times New Roman"/>
          <w:color w:val="000000"/>
          <w:shd w:val="clear" w:color="auto" w:fill="FFFFFF"/>
        </w:rPr>
        <w:t xml:space="preserve">negative externalities upon tax-payers who are forced to finance resource-intensive and time-consuming trials of potentially resolvable </w:t>
      </w:r>
      <w:r w:rsidRPr="00DA2021">
        <w:rPr>
          <w:rFonts w:eastAsia="Times New Roman"/>
          <w:color w:val="000000"/>
          <w:shd w:val="clear" w:color="auto" w:fill="FFFFFF"/>
        </w:rPr>
        <w:t>disputes (Hollander-Blumoff and Tyler, 2008).</w:t>
      </w:r>
      <w:r w:rsidRPr="004C7FE3">
        <w:rPr>
          <w:rFonts w:eastAsia="Times New Roman"/>
          <w:color w:val="000000"/>
          <w:shd w:val="clear" w:color="auto" w:fill="FFFFFF"/>
        </w:rPr>
        <w:t xml:space="preserve"> </w:t>
      </w:r>
    </w:p>
    <w:p w14:paraId="3001AFE1" w14:textId="77777777" w:rsidR="00B54813" w:rsidRPr="003674FB" w:rsidRDefault="00B54813" w:rsidP="00B54813">
      <w:pPr>
        <w:spacing w:line="360" w:lineRule="auto"/>
        <w:rPr>
          <w:rFonts w:eastAsia="Times New Roman"/>
          <w:color w:val="000000"/>
          <w:shd w:val="clear" w:color="auto" w:fill="FFFFFF"/>
        </w:rPr>
      </w:pPr>
    </w:p>
    <w:p w14:paraId="4BC52806" w14:textId="5AE885F0" w:rsidR="00B54813" w:rsidRPr="00EB60F8" w:rsidRDefault="00B54813" w:rsidP="00B54813">
      <w:pPr>
        <w:spacing w:line="360" w:lineRule="auto"/>
      </w:pPr>
      <w:r w:rsidRPr="004C7FE3">
        <w:rPr>
          <w:rFonts w:eastAsia="Times New Roman"/>
          <w:color w:val="000000"/>
          <w:shd w:val="clear" w:color="auto" w:fill="FFFFFF"/>
        </w:rPr>
        <w:t xml:space="preserve">The fact that lawyers may be tempted to act in a self-serving manner is anticipated in numerous legal codes of conduct, but countervailing financial incentives may render such measures </w:t>
      </w:r>
      <w:r w:rsidRPr="00580479">
        <w:rPr>
          <w:rFonts w:eastAsia="Times New Roman"/>
          <w:color w:val="000000"/>
          <w:shd w:val="clear" w:color="auto" w:fill="FFFFFF"/>
        </w:rPr>
        <w:t xml:space="preserve">insufficient. </w:t>
      </w:r>
      <w:r w:rsidRPr="00DA2021">
        <w:rPr>
          <w:rFonts w:eastAsia="Times New Roman"/>
          <w:color w:val="000000"/>
          <w:shd w:val="clear" w:color="auto" w:fill="FFFFFF"/>
        </w:rPr>
        <w:t>In fact, Hadfield (2000) asserted</w:t>
      </w:r>
      <w:r w:rsidRPr="004C7FE3">
        <w:rPr>
          <w:rFonts w:eastAsia="Times New Roman"/>
          <w:color w:val="000000"/>
          <w:shd w:val="clear" w:color="auto" w:fill="FFFFFF"/>
        </w:rPr>
        <w:t xml:space="preserve"> that there is no evidence to suggest that even highly ethical professionals resist market incentives in any systematic way. Accordingly</w:t>
      </w:r>
      <w:r w:rsidRPr="004C7FE3">
        <w:t xml:space="preserve">, designing incentives to effectively incentivise good representation is a fundamental area of research. This research </w:t>
      </w:r>
      <w:r w:rsidRPr="00C97FAF">
        <w:t>aims to understand how the principal can best motivate the agent to perform as the principal would prefer (Sappington, 1991) and</w:t>
      </w:r>
      <w:r w:rsidRPr="004C7FE3">
        <w:t xml:space="preserve"> in the legal domain there is extensive literature on the incentive effects of a lawyer’s fee-</w:t>
      </w:r>
      <w:r w:rsidRPr="00D17A4F">
        <w:t>arrangements (Miller, 1987;</w:t>
      </w:r>
      <w:r w:rsidR="00EE0446" w:rsidRPr="00D17A4F">
        <w:t xml:space="preserve"> </w:t>
      </w:r>
      <w:r w:rsidRPr="00D17A4F">
        <w:t>Dana</w:t>
      </w:r>
      <w:r w:rsidRPr="008F7A8E">
        <w:t xml:space="preserve"> and Spier, 1993; Bebchuk and Guzman, 1996; </w:t>
      </w:r>
      <w:r w:rsidRPr="00DA2021">
        <w:t xml:space="preserve">Hay, 1996; Kaplow </w:t>
      </w:r>
      <w:r w:rsidRPr="00D17A4F">
        <w:t xml:space="preserve">and Shavell, 2002; McKee, Santore and Shelton, 2007; </w:t>
      </w:r>
      <w:r w:rsidRPr="008F7A8E">
        <w:t>Emons, 2017)</w:t>
      </w:r>
      <w:r w:rsidR="001B2759" w:rsidRPr="008F7A8E">
        <w:t xml:space="preserve"> and</w:t>
      </w:r>
      <w:r w:rsidR="001B2759">
        <w:t xml:space="preserve"> specifically, the conflict of interests they may </w:t>
      </w:r>
      <w:r w:rsidR="001B2759" w:rsidRPr="005A0E14">
        <w:t xml:space="preserve">promote (Fortney, 2005; Parker and Ruschena, 2011; Emons, 2017). </w:t>
      </w:r>
      <w:r w:rsidRPr="005A0E14">
        <w:t>Fee-arrangements are asserted to play a role</w:t>
      </w:r>
      <w:r w:rsidRPr="00ED2124">
        <w:t xml:space="preserve"> in the client-lawyer relationship</w:t>
      </w:r>
      <w:r w:rsidRPr="002B2684">
        <w:t xml:space="preserve"> by shaping risk-allocation</w:t>
      </w:r>
      <w:r>
        <w:t>, terms of settlement</w:t>
      </w:r>
      <w:r w:rsidRPr="002B2684">
        <w:t xml:space="preserve"> and the lawyer’s incentives to exert </w:t>
      </w:r>
      <w:r w:rsidRPr="008F7A8E">
        <w:t>effort (Bebchuk and Guzman, 1996). Common</w:t>
      </w:r>
      <w:r w:rsidRPr="002B2684">
        <w:t xml:space="preserve"> legal compensation methods include the ho</w:t>
      </w:r>
      <w:r>
        <w:t xml:space="preserve">urly-fee. The hourly-fee may motivate lawyers to invest sufficient time and </w:t>
      </w:r>
      <w:r w:rsidRPr="00DA1A21">
        <w:t xml:space="preserve">effort in a case </w:t>
      </w:r>
      <w:r w:rsidR="00130AF3">
        <w:t>(Seldeslachts</w:t>
      </w:r>
      <w:r w:rsidRPr="00130AF3">
        <w:t>, 2016).</w:t>
      </w:r>
      <w:r w:rsidRPr="00DA1A21">
        <w:t xml:space="preserve"> However</w:t>
      </w:r>
      <w:r>
        <w:t>, c</w:t>
      </w:r>
      <w:r w:rsidRPr="004C7FE3">
        <w:t xml:space="preserve">onsistent with prior </w:t>
      </w:r>
      <w:r>
        <w:t xml:space="preserve">discussion, hourly-rates may incentivise lawyers to overinvest </w:t>
      </w:r>
      <w:r w:rsidR="00130AF3">
        <w:t>(Seldeslachts</w:t>
      </w:r>
      <w:r w:rsidR="001F1DC9">
        <w:t xml:space="preserve">, 2016) </w:t>
      </w:r>
      <w:r>
        <w:t xml:space="preserve">and may provide little incentive for a lawyer to reveal that a case has </w:t>
      </w:r>
      <w:r w:rsidRPr="008F7A8E">
        <w:t>low expected returns, potentially leading plaintiffs blindly into litigation (Dana and Spier, 1993).</w:t>
      </w:r>
      <w:r w:rsidRPr="008F7A8E">
        <w:rPr>
          <w:rStyle w:val="FootnoteReference"/>
        </w:rPr>
        <w:footnoteReference w:id="8"/>
      </w:r>
      <w:r w:rsidRPr="002B2684">
        <w:t xml:space="preserve"> An</w:t>
      </w:r>
      <w:r w:rsidRPr="004C7FE3">
        <w:t xml:space="preserve"> alternative and common compensation method is the contingent fee, where lawyers offer their services in exchange for a percentage </w:t>
      </w:r>
      <w:r w:rsidRPr="00584FD0">
        <w:t xml:space="preserve">of </w:t>
      </w:r>
      <w:r w:rsidRPr="00D17A4F">
        <w:t>the recovery (Miller, 1987). That</w:t>
      </w:r>
      <w:r>
        <w:t xml:space="preserve"> is, a lawyer receives a percentage of the final award to the client, regardless of the lawyer’s </w:t>
      </w:r>
      <w:r w:rsidRPr="008F7A8E">
        <w:t>investment (Bebchuk and Guzman, 1996). Contingent</w:t>
      </w:r>
      <w:r w:rsidRPr="004C7FE3">
        <w:t xml:space="preserve"> fees may enable clients and lawyers to sha</w:t>
      </w:r>
      <w:r w:rsidRPr="00E651D4">
        <w:t>re risk more efficiently (Posner, 1986) and may help align the client’s and lawyer’s interests (Watts, 1994). Indeed, contingent fees may address the moral hazard problem in this context, in that tying the attorney’s fees to the trial outcome may better incentivise lawyers to exert sufficient effort in comparison to hourly-fees (Emons, 2017). McKee et al., (2007) corroborated this assertion by experimentally demonstrating that contingent fees induce lawyers to invest effort and that such effort increases as contingent fees rise, even if the lawyer’s effort is unobservable. However, some scholars have suggested that contingent fees may induce lawyers to pursue only those cases with high expected returns (Dana and Spier, 1993). Emons (2017) further considered</w:t>
      </w:r>
      <w:r w:rsidR="001F1DC9">
        <w:t xml:space="preserve"> considered how contingent fees may create </w:t>
      </w:r>
      <w:r w:rsidRPr="00E651D4">
        <w:t xml:space="preserve">a conflict of interest, incentivising attorneys to impede settlements and promote suits of little legal merit because of their potential for excessive recovery. Alternatively, scholars have suggested that </w:t>
      </w:r>
      <w:r w:rsidR="00EE0446" w:rsidRPr="00E651D4">
        <w:t xml:space="preserve">contingent </w:t>
      </w:r>
      <w:r w:rsidRPr="00E651D4">
        <w:t>fees may promote higher levels of settlement given a lawyer’s ability to maximise income by</w:t>
      </w:r>
      <w:r w:rsidR="006D5152" w:rsidRPr="00E651D4">
        <w:t xml:space="preserve"> settling many cases quickly, </w:t>
      </w:r>
      <w:r w:rsidRPr="00E651D4">
        <w:t>rather than following through with the time and cost-intensive trial process for each (Korobkin and Guthrie, 1997).</w:t>
      </w:r>
      <w:r w:rsidR="000154D4" w:rsidRPr="00E651D4">
        <w:t xml:space="preserve"> Similarly, Watts (1994) argued</w:t>
      </w:r>
      <w:r w:rsidR="000154D4">
        <w:t xml:space="preserve"> that attorneys may want to settle, even when it is against their client’s best interest, to avoid the costs of trial preparation. </w:t>
      </w:r>
      <w:r w:rsidRPr="00EB60F8">
        <w:t xml:space="preserve">  </w:t>
      </w:r>
    </w:p>
    <w:p w14:paraId="659D4D7D" w14:textId="77777777" w:rsidR="00B54813" w:rsidRPr="00EB60F8" w:rsidRDefault="00B54813" w:rsidP="00B54813">
      <w:pPr>
        <w:spacing w:line="360" w:lineRule="auto"/>
      </w:pPr>
    </w:p>
    <w:p w14:paraId="4B328A6D" w14:textId="764F87FF" w:rsidR="005F20D1" w:rsidRDefault="00B54813" w:rsidP="00B54813">
      <w:pPr>
        <w:spacing w:line="360" w:lineRule="auto"/>
      </w:pPr>
      <w:r w:rsidRPr="00EB60F8">
        <w:t xml:space="preserve">As the prior </w:t>
      </w:r>
      <w:r w:rsidRPr="00CF4271">
        <w:t>discussion suggests, the literature does not present definitive conclusions about how specific fee-arrangements shape a lawyer’s decision-making (Korobkin and Guthrie, 1997). One complicating feature is</w:t>
      </w:r>
      <w:r w:rsidRPr="004C7FE3">
        <w:t xml:space="preserve"> the prevalence of long-term and potentially conflicting reputational incentives. Lawyers </w:t>
      </w:r>
      <w:r w:rsidRPr="00580479">
        <w:t xml:space="preserve">may be inclined to invest in their reputational capital, as it serves to identify desirable yet </w:t>
      </w:r>
      <w:r w:rsidRPr="00DA2021">
        <w:t>unobservable traits (Gilson and Mnookin, 1994). This</w:t>
      </w:r>
      <w:r w:rsidRPr="00580479">
        <w:t xml:space="preserve"> is</w:t>
      </w:r>
      <w:r w:rsidRPr="004C7FE3">
        <w:t xml:space="preserve"> critical from the perspective of prospective clients, who may be ignorant of alternative signals of quality, or</w:t>
      </w:r>
      <w:r>
        <w:t>, are</w:t>
      </w:r>
      <w:r w:rsidRPr="004C7FE3">
        <w:t xml:space="preserve"> financially incapable of evaluating a </w:t>
      </w:r>
      <w:r>
        <w:t xml:space="preserve">cohort of prospective attorneys, and thus performing a </w:t>
      </w:r>
      <w:r w:rsidRPr="00414149">
        <w:t xml:space="preserve">meaningful </w:t>
      </w:r>
      <w:r w:rsidRPr="00CF4271">
        <w:t>evaluation (Langevoort and Rasmussen, 1997</w:t>
      </w:r>
      <w:r w:rsidR="000154D4" w:rsidRPr="00CF4271">
        <w:t xml:space="preserve">; </w:t>
      </w:r>
      <w:r w:rsidR="000154D4" w:rsidRPr="00E651D4">
        <w:t>Zacharias, 2008</w:t>
      </w:r>
      <w:r w:rsidRPr="00E651D4">
        <w:t>). By extension,</w:t>
      </w:r>
      <w:r w:rsidRPr="003A2F6A">
        <w:t xml:space="preserve"> reputations become critical in the minds</w:t>
      </w:r>
      <w:r w:rsidRPr="00780336">
        <w:t xml:space="preserve"> of lawyers who may utilise their reputation as a form of signalling to attract clients (Zacharias, 2008), justify</w:t>
      </w:r>
      <w:r>
        <w:t xml:space="preserve"> compensation rates and overcome inefficiencies associated with adverse selection.</w:t>
      </w:r>
    </w:p>
    <w:p w14:paraId="5EB2900C" w14:textId="47912A08" w:rsidR="00B54813" w:rsidRDefault="00B54813" w:rsidP="00B54813">
      <w:pPr>
        <w:spacing w:line="360" w:lineRule="auto"/>
      </w:pPr>
      <w:r>
        <w:t xml:space="preserve">Accordingly, reputational capital is argued an asset that enables lawyers to maintain high-levels of rent in the long-run, which is assumed to surpass the one-shot gains from delivering low-quality services in </w:t>
      </w:r>
      <w:r w:rsidRPr="00DA2021">
        <w:t>the short-run (Klein and Leffler, 1981). Reputations</w:t>
      </w:r>
      <w:r>
        <w:t xml:space="preserve"> may thus temper </w:t>
      </w:r>
      <w:r w:rsidRPr="004C7FE3">
        <w:t xml:space="preserve">incentives to behave opportunistically and enforce quality guarantees among agents who will find it costly to forego their </w:t>
      </w:r>
      <w:r w:rsidRPr="001E3159">
        <w:t xml:space="preserve">reputational </w:t>
      </w:r>
      <w:r w:rsidRPr="00C97FAF">
        <w:t>capital (Smith and Cox, 1985; Langevoort and Rasmussen, 1997; Hadfield, 2000). Nevertheless, should financial gains be sufficiently</w:t>
      </w:r>
      <w:r w:rsidRPr="004C7FE3">
        <w:t xml:space="preserve"> high, </w:t>
      </w:r>
      <w:r w:rsidRPr="00442267">
        <w:t xml:space="preserve">lawyers may still be incentivised to pursue short-run monetary interests (Klein and Leffler, </w:t>
      </w:r>
      <w:r w:rsidR="00414149" w:rsidRPr="00442267">
        <w:t xml:space="preserve">1981; Painter, 1995) </w:t>
      </w:r>
      <w:r w:rsidRPr="00442267">
        <w:t>or alternatively, be tempted to ‘win-big’ at trial, at the potential expense of their client (Lax and Sebenius, 1986; Painter, 1995).</w:t>
      </w:r>
      <w:r w:rsidRPr="00442267">
        <w:rPr>
          <w:rStyle w:val="FootnoteReference"/>
        </w:rPr>
        <w:footnoteReference w:id="9"/>
      </w:r>
      <w:r w:rsidRPr="00442267">
        <w:t xml:space="preserve"> Either way</w:t>
      </w:r>
      <w:r w:rsidRPr="004C7FE3">
        <w:t xml:space="preserve">, a one-shot treatment is limiting when modelling legal games given that lawyers are repeat players who, among alternative objectives, aim to establish and maintain their reputational capital. </w:t>
      </w:r>
    </w:p>
    <w:p w14:paraId="034CFBD2" w14:textId="77777777" w:rsidR="00B54813" w:rsidRPr="003674FB" w:rsidRDefault="00B54813" w:rsidP="00B54813">
      <w:pPr>
        <w:spacing w:line="360" w:lineRule="auto"/>
      </w:pPr>
    </w:p>
    <w:p w14:paraId="3B656A80" w14:textId="77777777" w:rsidR="00B54813" w:rsidRPr="003674FB" w:rsidRDefault="00B54813" w:rsidP="00B54813">
      <w:pPr>
        <w:pStyle w:val="ListParagraph"/>
        <w:numPr>
          <w:ilvl w:val="1"/>
          <w:numId w:val="1"/>
        </w:numPr>
        <w:spacing w:line="360" w:lineRule="auto"/>
        <w:rPr>
          <w:rFonts w:eastAsia="Times New Roman"/>
          <w:b/>
          <w:color w:val="000000" w:themeColor="text1"/>
          <w:shd w:val="clear" w:color="auto" w:fill="FFFFFF"/>
        </w:rPr>
      </w:pPr>
      <w:r w:rsidRPr="003674FB">
        <w:rPr>
          <w:rFonts w:eastAsia="Times New Roman"/>
          <w:b/>
          <w:color w:val="000000" w:themeColor="text1"/>
          <w:shd w:val="clear" w:color="auto" w:fill="FFFFFF"/>
        </w:rPr>
        <w:t xml:space="preserve">Games played through agents  </w:t>
      </w:r>
    </w:p>
    <w:p w14:paraId="3CB387B8" w14:textId="32BF5491" w:rsidR="00B54813" w:rsidRDefault="00B54813" w:rsidP="00B54813">
      <w:pPr>
        <w:spacing w:line="360" w:lineRule="auto"/>
        <w:rPr>
          <w:color w:val="000000" w:themeColor="text1"/>
        </w:rPr>
      </w:pPr>
      <w:r w:rsidRPr="000C36E1">
        <w:rPr>
          <w:i/>
        </w:rPr>
        <w:t xml:space="preserve">“The economic literature, with rare exceptions, shares a troublesome feature. Almost by </w:t>
      </w:r>
      <w:r w:rsidRPr="00ED2124">
        <w:rPr>
          <w:i/>
        </w:rPr>
        <w:t xml:space="preserve">convention, </w:t>
      </w:r>
      <w:r w:rsidRPr="00DA2021">
        <w:rPr>
          <w:i/>
        </w:rPr>
        <w:t xml:space="preserve">litigation is modelled as a two-person game between principals” </w:t>
      </w:r>
      <w:r w:rsidRPr="00DA2021">
        <w:t>(Gilson and Mnookin, 1994). The literature</w:t>
      </w:r>
      <w:r>
        <w:t xml:space="preserve"> on bargaining and litigation has </w:t>
      </w:r>
      <w:r w:rsidR="00B74DEC">
        <w:t xml:space="preserve">traditionally </w:t>
      </w:r>
      <w:r>
        <w:t xml:space="preserve">focused on two-person games between </w:t>
      </w:r>
      <w:r w:rsidRPr="00CF4271">
        <w:t xml:space="preserve">principals </w:t>
      </w:r>
      <w:r w:rsidRPr="00CF4271">
        <w:rPr>
          <w:color w:val="000000" w:themeColor="text1"/>
        </w:rPr>
        <w:t>(Lax and Sebenius, 1991; Bazerman</w:t>
      </w:r>
      <w:r w:rsidRPr="008F7A8E">
        <w:rPr>
          <w:color w:val="000000" w:themeColor="text1"/>
        </w:rPr>
        <w:t xml:space="preserve"> et al., 1992</w:t>
      </w:r>
      <w:r w:rsidRPr="00DA2021">
        <w:rPr>
          <w:color w:val="000000" w:themeColor="text1"/>
        </w:rPr>
        <w:t xml:space="preserve">; Gilson and Mnookin, 1994; </w:t>
      </w:r>
      <w:r w:rsidRPr="00442267">
        <w:rPr>
          <w:color w:val="000000" w:themeColor="text1"/>
        </w:rPr>
        <w:t>Korobkin and Guthrie, 1997; Mnookin and Susskind, 1999; Halla,</w:t>
      </w:r>
      <w:r w:rsidRPr="00DA2021">
        <w:rPr>
          <w:color w:val="000000" w:themeColor="text1"/>
        </w:rPr>
        <w:t xml:space="preserve"> 2007; </w:t>
      </w:r>
      <w:r w:rsidRPr="008F7A8E">
        <w:rPr>
          <w:color w:val="000000" w:themeColor="text1"/>
        </w:rPr>
        <w:t>Fairchild, 2019).</w:t>
      </w:r>
      <w:r w:rsidRPr="001E3159">
        <w:rPr>
          <w:color w:val="000000" w:themeColor="text1"/>
        </w:rPr>
        <w:t xml:space="preserve"> </w:t>
      </w:r>
      <w:r w:rsidR="00B74DEC">
        <w:rPr>
          <w:color w:val="000000" w:themeColor="text1"/>
        </w:rPr>
        <w:t>F</w:t>
      </w:r>
      <w:r w:rsidR="00B74DEC" w:rsidRPr="00CF4271">
        <w:rPr>
          <w:color w:val="000000" w:themeColor="text1"/>
        </w:rPr>
        <w:t>or instance, Lax and Sebenius (1991) stated</w:t>
      </w:r>
      <w:r w:rsidR="00B74DEC">
        <w:rPr>
          <w:color w:val="000000" w:themeColor="text1"/>
        </w:rPr>
        <w:t xml:space="preserve"> that the bulk of negotiation literature focuses on direct interaction between principals, even though bargaining is often conducted through </w:t>
      </w:r>
      <w:r w:rsidR="00B74DEC" w:rsidRPr="008F7A8E">
        <w:rPr>
          <w:color w:val="000000" w:themeColor="text1"/>
        </w:rPr>
        <w:t>agents. Bazerman et al., (1992) argued</w:t>
      </w:r>
      <w:r w:rsidR="00B74DEC">
        <w:rPr>
          <w:color w:val="000000" w:themeColor="text1"/>
        </w:rPr>
        <w:t xml:space="preserve"> that most negotiation research focuses on two-party negotiations wherein actors negotiate, and maximise, their own outcomes and how in real-life, many negotiations occur </w:t>
      </w:r>
      <w:r w:rsidR="00B74DEC" w:rsidRPr="00C97FAF">
        <w:rPr>
          <w:color w:val="000000" w:themeColor="text1"/>
        </w:rPr>
        <w:t>through agents. Spier (1992)</w:t>
      </w:r>
      <w:r w:rsidR="00B74DEC">
        <w:rPr>
          <w:color w:val="000000" w:themeColor="text1"/>
        </w:rPr>
        <w:t xml:space="preserve"> considered the divergent interests of lawyers and clients, and how this may give rise to the ‘deadline effect’. For instance, how lawyers may delay settlements to maximise pecuniary compensation or establish a</w:t>
      </w:r>
      <w:r w:rsidR="00FF7776">
        <w:rPr>
          <w:color w:val="000000" w:themeColor="text1"/>
        </w:rPr>
        <w:t xml:space="preserve"> reputation as a tough negotiator. </w:t>
      </w:r>
      <w:r w:rsidR="00B74DEC">
        <w:rPr>
          <w:color w:val="000000" w:themeColor="text1"/>
        </w:rPr>
        <w:t xml:space="preserve">Consequently, Spier (1992) highlights the agency problem and its effect on the process and outcome of bargaining as a further avenue for research. </w:t>
      </w:r>
      <w:r w:rsidRPr="00414149">
        <w:rPr>
          <w:color w:val="000000" w:themeColor="text1"/>
        </w:rPr>
        <w:t>Watts (1994) asserted</w:t>
      </w:r>
      <w:r w:rsidRPr="000C36E1">
        <w:rPr>
          <w:color w:val="000000" w:themeColor="text1"/>
        </w:rPr>
        <w:t xml:space="preserve"> that most litigation models assume an alliance of objectives between lawyers and clients, even though this is generally not the case. </w:t>
      </w:r>
      <w:r w:rsidRPr="00CF4271">
        <w:rPr>
          <w:color w:val="000000" w:themeColor="text1"/>
        </w:rPr>
        <w:t>Similarly, Korobkin and Guthrie (1997) argued</w:t>
      </w:r>
      <w:r w:rsidRPr="000C36E1">
        <w:rPr>
          <w:color w:val="000000" w:themeColor="text1"/>
        </w:rPr>
        <w:t xml:space="preserve"> tha</w:t>
      </w:r>
      <w:r w:rsidRPr="00DA1A21">
        <w:rPr>
          <w:color w:val="000000" w:themeColor="text1"/>
        </w:rPr>
        <w:t>t most accounts of lawsuit settlement simplistically assume that litigation is a two-party activity,</w:t>
      </w:r>
      <w:r w:rsidR="00B74DEC">
        <w:rPr>
          <w:color w:val="000000" w:themeColor="text1"/>
        </w:rPr>
        <w:t xml:space="preserve"> even though the presence of lawyers is what most significantly differentiates litigation bargaining from its alternative forms</w:t>
      </w:r>
      <w:r w:rsidR="00B74DEC" w:rsidRPr="00C97FAF">
        <w:rPr>
          <w:color w:val="000000" w:themeColor="text1"/>
        </w:rPr>
        <w:t xml:space="preserve">. </w:t>
      </w:r>
      <w:r w:rsidR="00646FCC" w:rsidRPr="00C97FAF">
        <w:rPr>
          <w:color w:val="000000" w:themeColor="text1"/>
        </w:rPr>
        <w:t>Mnookin and Susskind (1999) also asserted</w:t>
      </w:r>
      <w:r w:rsidR="00646FCC">
        <w:rPr>
          <w:color w:val="000000" w:themeColor="text1"/>
        </w:rPr>
        <w:t xml:space="preserve"> that the dominant perspective within negotiation literature is that principles negotiate directly even though agency is a central feature in many negotiations. </w:t>
      </w:r>
      <w:r w:rsidRPr="00C97FAF">
        <w:rPr>
          <w:color w:val="000000" w:themeColor="text1"/>
        </w:rPr>
        <w:t>Schotter, Zheng and Synder (2000) compared</w:t>
      </w:r>
      <w:r w:rsidRPr="000C36E1">
        <w:rPr>
          <w:color w:val="000000" w:themeColor="text1"/>
        </w:rPr>
        <w:t xml:space="preserve"> data from real-world bargaining with laboratory bargaining and illustrated that the latter exhibited increased efficiency. The authors attributed these results to the fact that real-world bargaining, unlike </w:t>
      </w:r>
      <w:r w:rsidRPr="00DA2021">
        <w:rPr>
          <w:color w:val="000000" w:themeColor="text1"/>
        </w:rPr>
        <w:t>within laboratories, are conducted between agents on behalf of principals. Hirshleifer and Osborne (2001) underlined</w:t>
      </w:r>
      <w:r w:rsidRPr="000C36E1">
        <w:rPr>
          <w:color w:val="000000" w:themeColor="text1"/>
        </w:rPr>
        <w:t xml:space="preserve"> the issue of diverging interests that prevail between litigants and attorneys, highlighting how a general model of litigation would need to consist of four parties, rival principals and agents on each side. In general, it seems that the </w:t>
      </w:r>
      <w:r w:rsidRPr="008C1BC6">
        <w:rPr>
          <w:color w:val="000000" w:themeColor="text1"/>
        </w:rPr>
        <w:t xml:space="preserve">economic literature has devoted little attention to the interaction </w:t>
      </w:r>
      <w:r w:rsidRPr="00DA2021">
        <w:rPr>
          <w:color w:val="000000" w:themeColor="text1"/>
        </w:rPr>
        <w:t>between lawyers (Halla, 2007).</w:t>
      </w:r>
      <w:r w:rsidRPr="008C1BC6">
        <w:rPr>
          <w:color w:val="000000" w:themeColor="text1"/>
        </w:rPr>
        <w:t xml:space="preserve"> Indeed</w:t>
      </w:r>
      <w:r w:rsidRPr="00084B77">
        <w:rPr>
          <w:color w:val="000000" w:themeColor="text1"/>
        </w:rPr>
        <w:t xml:space="preserve">, </w:t>
      </w:r>
      <w:r w:rsidRPr="007B2CB8">
        <w:rPr>
          <w:color w:val="000000" w:themeColor="text1"/>
        </w:rPr>
        <w:t>Ashenfelter and Dahl (2012) argued</w:t>
      </w:r>
      <w:r w:rsidRPr="000C36E1">
        <w:rPr>
          <w:color w:val="000000" w:themeColor="text1"/>
        </w:rPr>
        <w:t xml:space="preserve"> that while expert agents, such as lawyers, play a critical role in conflict resolution, little is known about how they may affect outcomes. In </w:t>
      </w:r>
      <w:r w:rsidRPr="00B07B0C">
        <w:rPr>
          <w:color w:val="000000" w:themeColor="text1"/>
        </w:rPr>
        <w:t xml:space="preserve">addition, </w:t>
      </w:r>
      <w:r w:rsidRPr="00C97FAF">
        <w:rPr>
          <w:color w:val="000000" w:themeColor="text1"/>
        </w:rPr>
        <w:t>Robbennolt (2014) called</w:t>
      </w:r>
      <w:r w:rsidRPr="000C36E1">
        <w:rPr>
          <w:color w:val="000000" w:themeColor="text1"/>
        </w:rPr>
        <w:t xml:space="preserve"> for a better understanding of how attorneys balance competing incentives, including financial and reputational. </w:t>
      </w:r>
    </w:p>
    <w:p w14:paraId="4E6A78CE" w14:textId="77777777" w:rsidR="00B54813" w:rsidRDefault="00B54813" w:rsidP="00B54813">
      <w:pPr>
        <w:spacing w:line="360" w:lineRule="auto"/>
        <w:rPr>
          <w:color w:val="000000" w:themeColor="text1"/>
        </w:rPr>
      </w:pPr>
    </w:p>
    <w:p w14:paraId="65A9644E" w14:textId="525E23A9" w:rsidR="00B54813" w:rsidRPr="001774BA" w:rsidRDefault="00646FCC" w:rsidP="00B54813">
      <w:pPr>
        <w:spacing w:line="360" w:lineRule="auto"/>
      </w:pPr>
      <w:r>
        <w:rPr>
          <w:color w:val="000000" w:themeColor="text1"/>
        </w:rPr>
        <w:t xml:space="preserve">There has been numerous theoretical and empirical research on the impact of agency on </w:t>
      </w:r>
      <w:r w:rsidRPr="00A77F3E">
        <w:rPr>
          <w:color w:val="000000" w:themeColor="text1"/>
        </w:rPr>
        <w:t>games (Schelling, 1960;</w:t>
      </w:r>
      <w:r w:rsidRPr="00C97FAF">
        <w:rPr>
          <w:color w:val="000000" w:themeColor="text1"/>
        </w:rPr>
        <w:t xml:space="preserve"> Fershtman</w:t>
      </w:r>
      <w:r w:rsidRPr="008F7A8E">
        <w:rPr>
          <w:color w:val="000000" w:themeColor="text1"/>
        </w:rPr>
        <w:t xml:space="preserve">, Judd and Kalai, 1991; </w:t>
      </w:r>
      <w:r w:rsidRPr="00E651D4">
        <w:rPr>
          <w:color w:val="000000" w:themeColor="text1"/>
        </w:rPr>
        <w:t>Bazerman et al., 1992; Watts, 1994; Fershtman and Gneezy, 2001; Prat and Rustichini, 2003; Aaldering</w:t>
      </w:r>
      <w:r w:rsidRPr="007B2CB8">
        <w:rPr>
          <w:color w:val="000000" w:themeColor="text1"/>
        </w:rPr>
        <w:t xml:space="preserve"> et al., 2013).</w:t>
      </w:r>
      <w:r>
        <w:rPr>
          <w:color w:val="000000" w:themeColor="text1"/>
        </w:rPr>
        <w:t xml:space="preserve"> Indeed, o</w:t>
      </w:r>
      <w:r w:rsidR="00B54813">
        <w:rPr>
          <w:color w:val="000000" w:themeColor="text1"/>
        </w:rPr>
        <w:t xml:space="preserve">verlooking agency in game-theoretic models is problematic, precisely because </w:t>
      </w:r>
      <w:r w:rsidR="00B54813" w:rsidRPr="00DA2021">
        <w:rPr>
          <w:color w:val="000000" w:themeColor="text1"/>
        </w:rPr>
        <w:t xml:space="preserve">many economically important games are played by agents and not principals (Katz, 1991; </w:t>
      </w:r>
      <w:r w:rsidR="00B54813" w:rsidRPr="008F7A8E">
        <w:rPr>
          <w:color w:val="000000" w:themeColor="text1"/>
        </w:rPr>
        <w:t xml:space="preserve">Fershtman, Judd and Kalai, 1991; Fershtman and Gneezy, 2001). </w:t>
      </w:r>
      <w:r w:rsidR="00BC579C">
        <w:rPr>
          <w:color w:val="000000" w:themeColor="text1"/>
        </w:rPr>
        <w:t>For example,</w:t>
      </w:r>
      <w:r w:rsidR="001774BA" w:rsidRPr="008F7A8E">
        <w:rPr>
          <w:color w:val="000000" w:themeColor="text1"/>
        </w:rPr>
        <w:t xml:space="preserve"> </w:t>
      </w:r>
      <w:r w:rsidR="00B54813" w:rsidRPr="008F7A8E">
        <w:rPr>
          <w:color w:val="000000" w:themeColor="text1"/>
        </w:rPr>
        <w:t xml:space="preserve">Fershtman and Gneezy (2001) </w:t>
      </w:r>
      <w:r w:rsidR="00BC579C">
        <w:rPr>
          <w:color w:val="000000" w:themeColor="text1"/>
        </w:rPr>
        <w:t>investigated</w:t>
      </w:r>
      <w:r w:rsidR="00B54813" w:rsidRPr="009E33FB">
        <w:rPr>
          <w:color w:val="000000" w:themeColor="text1"/>
        </w:rPr>
        <w:t xml:space="preserve"> the</w:t>
      </w:r>
      <w:r w:rsidR="00B54813">
        <w:rPr>
          <w:color w:val="000000" w:themeColor="text1"/>
        </w:rPr>
        <w:t xml:space="preserve"> effects of agency on the ultimatum game. The authors illustrated that agency significantly increases the proposer’s payoff. Indeed, when agents transparently received a fixed fee for accepted offers and no award for rejected offers, responders seemed less willing to reject unfair offers, given its impact on a ‘neutral’ third-party (the agent). Scholars have further investigated the use of delegation as a credible commitment device, termed strategic </w:t>
      </w:r>
      <w:r w:rsidR="00B54813" w:rsidRPr="00C97FAF">
        <w:rPr>
          <w:color w:val="000000" w:themeColor="text1"/>
        </w:rPr>
        <w:t>delegation (</w:t>
      </w:r>
      <w:r w:rsidR="00B54813" w:rsidRPr="007012AE">
        <w:rPr>
          <w:color w:val="000000" w:themeColor="text1"/>
        </w:rPr>
        <w:t>Schelling, 1956; Jones, 1989; Fershtman</w:t>
      </w:r>
      <w:r w:rsidR="00B54813" w:rsidRPr="008F7A8E">
        <w:rPr>
          <w:color w:val="000000" w:themeColor="text1"/>
        </w:rPr>
        <w:t xml:space="preserve"> et al., 1991). For example, Fershtman et al., (1991)</w:t>
      </w:r>
      <w:r w:rsidR="00B54813" w:rsidRPr="009E33FB">
        <w:rPr>
          <w:color w:val="000000" w:themeColor="text1"/>
        </w:rPr>
        <w:t xml:space="preserve"> considered a two-stage delegation game. In the first stage, each principal presents their agent with a compensation scheme and in the </w:t>
      </w:r>
      <w:r w:rsidR="00B54813" w:rsidRPr="008F7A8E">
        <w:rPr>
          <w:color w:val="000000" w:themeColor="text1"/>
        </w:rPr>
        <w:t xml:space="preserve">second stage, agents play a cournot-type duopolistic game on their principal’s behalf. </w:t>
      </w:r>
      <w:r w:rsidR="00B54813" w:rsidRPr="008F7A8E">
        <w:t>Fershtman et al., (1991) demonstrated that when contracts are observable and common knowledge (and thus can be conditioned upon), and principals are fully committed; principals can obtain a Pareto outcome as an equilibrium. However, in both Fershtman and Gneezy (2001) and Fershtman et al., (1991), agents</w:t>
      </w:r>
      <w:r w:rsidR="00B54813" w:rsidRPr="00ED2124">
        <w:t xml:space="preserve"> acted according to compensation schemes devised by principals</w:t>
      </w:r>
      <w:r w:rsidR="001774BA">
        <w:t xml:space="preserve">, implying a high level of sophistication. </w:t>
      </w:r>
      <w:r w:rsidR="00B54813" w:rsidRPr="00ED2124">
        <w:t>In fact, Fershtman et al., (1991) considered how their agents were not modelled to obtain any experiential or informational advantage</w:t>
      </w:r>
      <w:r w:rsidR="00B54813">
        <w:t xml:space="preserve"> over principals. In this way, their work </w:t>
      </w:r>
      <w:r w:rsidR="001774BA">
        <w:t xml:space="preserve">may have overlooked the potential for </w:t>
      </w:r>
      <w:r w:rsidR="00BC579C">
        <w:t xml:space="preserve">asymmetric information and </w:t>
      </w:r>
      <w:r w:rsidR="001774BA">
        <w:t xml:space="preserve">agency problems. </w:t>
      </w:r>
      <w:r w:rsidR="00B54813">
        <w:t xml:space="preserve"> </w:t>
      </w:r>
    </w:p>
    <w:p w14:paraId="2E79ECA3" w14:textId="77777777" w:rsidR="00B54813" w:rsidRDefault="00B54813" w:rsidP="00B54813">
      <w:pPr>
        <w:spacing w:line="360" w:lineRule="auto"/>
      </w:pPr>
    </w:p>
    <w:p w14:paraId="1677FD10" w14:textId="6EE65AFD" w:rsidR="00B54813" w:rsidRDefault="00B54813" w:rsidP="00B54813">
      <w:pPr>
        <w:spacing w:line="360" w:lineRule="auto"/>
      </w:pPr>
      <w:r w:rsidRPr="00BD32A9">
        <w:t>Prat and Rustichini (2003) introduced</w:t>
      </w:r>
      <w:r w:rsidRPr="003674FB">
        <w:t xml:space="preserve"> </w:t>
      </w:r>
      <w:r w:rsidRPr="003674FB">
        <w:rPr>
          <w:i/>
        </w:rPr>
        <w:t xml:space="preserve">Games played through agents </w:t>
      </w:r>
      <w:r w:rsidRPr="003674FB">
        <w:t xml:space="preserve">(GPTA), wherein agents are tasked with playing a game whose outcome generates consequences borne by principals. </w:t>
      </w:r>
      <w:r>
        <w:t xml:space="preserve">The GPTA is a two-stage game wherein principals, who are invested in the outcome of the game, </w:t>
      </w:r>
      <w:r w:rsidRPr="00ED2124">
        <w:t xml:space="preserve">offer </w:t>
      </w:r>
      <w:r w:rsidRPr="008F7A8E">
        <w:t>agents a schedule of monetary transfers contingent on their actions (Ensthaler, Huck and Leutgeb, 2020). In an experimental</w:t>
      </w:r>
      <w:r>
        <w:t xml:space="preserve"> investigation of the GPTA, </w:t>
      </w:r>
      <w:r w:rsidRPr="009E33FB">
        <w:t xml:space="preserve">Ensthaler et al., (2020) </w:t>
      </w:r>
      <w:r w:rsidRPr="003674FB">
        <w:t xml:space="preserve">demonstrated </w:t>
      </w:r>
      <w:r>
        <w:t xml:space="preserve">a resulting bundle of auctions wherein principals compete over the influence of agents who simplistically opted for the action that awarded the highest total payoff. Nevertheless, this experimental investigation did not consider misaligned incentives, as agents were assumed to derive utility solely from the payoff schedule determined by </w:t>
      </w:r>
      <w:r w:rsidR="00BB0D9E" w:rsidRPr="008F7A8E">
        <w:t xml:space="preserve">principals. </w:t>
      </w:r>
      <w:r w:rsidRPr="008F7A8E">
        <w:t>Bazerman et al., (1992) explored</w:t>
      </w:r>
      <w:r w:rsidRPr="009E33FB">
        <w:t xml:space="preserve"> the impact of third-parties as agents (non-neutral) or mediators (neutral</w:t>
      </w:r>
      <w:r w:rsidRPr="003674FB">
        <w:t xml:space="preserve">) on negotiation outcomes and suggested that the use of agents increases the rate of impasse. </w:t>
      </w:r>
      <w:r>
        <w:t>However, their</w:t>
      </w:r>
      <w:r w:rsidRPr="003674FB">
        <w:t xml:space="preserve"> negotiation exercise did not consider negotiations undertaken between agents, and overlooks the impact of agency on the ‘integrativeness’ of </w:t>
      </w:r>
      <w:r w:rsidRPr="007B2CB8">
        <w:t>agreements. Aaldering et al., (2013) explored</w:t>
      </w:r>
      <w:r w:rsidRPr="002027C8">
        <w:t xml:space="preserve"> the notion of representative negotiations in groups and</w:t>
      </w:r>
      <w:r w:rsidRPr="003674FB">
        <w:t xml:space="preserve"> their findings illustrated that individuals with a pro-social orientation are more willing to self-sacrifice in favour </w:t>
      </w:r>
      <w:r w:rsidRPr="00C95EC4">
        <w:rPr>
          <w:color w:val="000000" w:themeColor="text1"/>
        </w:rPr>
        <w:t>of their principals’ interests</w:t>
      </w:r>
      <w:r w:rsidRPr="003674FB">
        <w:t xml:space="preserve">. Their study considered notions of asymmetric information and misaligned incentives, yet their negotiation exercise focused on a single distributive issue and involved relatively low financial incentives, indicating limited conflicting incentives. </w:t>
      </w:r>
      <w:r>
        <w:t>Furthermore, the structure of their game, consisting of group representatives, is deemed inconsistent with the game of divor</w:t>
      </w:r>
      <w:r w:rsidRPr="00AB1878">
        <w:t xml:space="preserve">ce. Similarly, the multi-principal and multi-agent structure of the GPTA and alternative models, </w:t>
      </w:r>
      <w:r w:rsidRPr="00414149">
        <w:t xml:space="preserve">including </w:t>
      </w:r>
      <w:r w:rsidRPr="00414149">
        <w:rPr>
          <w:color w:val="000000" w:themeColor="text1"/>
        </w:rPr>
        <w:t xml:space="preserve">Watts’ (1994) </w:t>
      </w:r>
      <w:r w:rsidRPr="00414149">
        <w:t>three</w:t>
      </w:r>
      <w:r w:rsidRPr="00F13B00">
        <w:t>-player litigation model are not consistent with the four-player divorce-</w:t>
      </w:r>
      <w:r>
        <w:t xml:space="preserve">bargaining setting </w:t>
      </w:r>
      <w:r w:rsidR="00BC579C">
        <w:t>considered</w:t>
      </w:r>
      <w:r w:rsidRPr="002027C8">
        <w:t xml:space="preserve"> here. Separately, </w:t>
      </w:r>
      <w:r w:rsidRPr="007B2CB8">
        <w:t>Ashenfelter, Bloom and Dahl (2013) and, in</w:t>
      </w:r>
      <w:r w:rsidRPr="002027C8">
        <w:t xml:space="preserve"> the </w:t>
      </w:r>
      <w:r w:rsidRPr="00DA2021">
        <w:t>context of divorce, Halla (2007), modelled</w:t>
      </w:r>
      <w:r>
        <w:t xml:space="preserve"> the demand for legal representation using a Prisoner’s Dilemma (PD), wherein opposing parties must decide whether to hire legal representation or not. They demonstrated that clients pursue a non-socially optimal dominant strategy of costlier representation, to avoid exploitation, even though the results may be identical to what would have occurred without representation. Critically however, these analyses focused on a client’s decision to hire a representative, rather than the lawyer’s decision-making on behalf of their client. </w:t>
      </w:r>
    </w:p>
    <w:p w14:paraId="14340C1B" w14:textId="77777777" w:rsidR="00B54813" w:rsidRDefault="00B54813" w:rsidP="00B54813">
      <w:pPr>
        <w:spacing w:line="360" w:lineRule="auto"/>
      </w:pPr>
    </w:p>
    <w:p w14:paraId="2D992AA7" w14:textId="2500C65C" w:rsidR="00B54813" w:rsidRDefault="00B54813" w:rsidP="00B54813">
      <w:pPr>
        <w:spacing w:line="360" w:lineRule="auto"/>
        <w:rPr>
          <w:rFonts w:eastAsia="Times New Roman"/>
          <w:color w:val="000000" w:themeColor="text1"/>
        </w:rPr>
      </w:pPr>
      <w:r w:rsidRPr="00EA63A5">
        <w:rPr>
          <w:color w:val="000000" w:themeColor="text1"/>
        </w:rPr>
        <w:t>Gilson and Mnookin’s (1994) litigation</w:t>
      </w:r>
      <w:r w:rsidRPr="003674FB">
        <w:rPr>
          <w:color w:val="000000" w:themeColor="text1"/>
        </w:rPr>
        <w:t xml:space="preserve"> and pre-litigation games constitute</w:t>
      </w:r>
      <w:r>
        <w:rPr>
          <w:color w:val="000000" w:themeColor="text1"/>
        </w:rPr>
        <w:t xml:space="preserve"> one</w:t>
      </w:r>
      <w:r w:rsidRPr="003674FB">
        <w:rPr>
          <w:color w:val="000000" w:themeColor="text1"/>
        </w:rPr>
        <w:t xml:space="preserve"> notable incorporation of agency in game-theoretic models</w:t>
      </w:r>
      <w:r>
        <w:rPr>
          <w:color w:val="000000" w:themeColor="text1"/>
        </w:rPr>
        <w:t xml:space="preserve"> of legal disputes, that were subsequently applied in the context of divorce. </w:t>
      </w:r>
      <w:r>
        <w:rPr>
          <w:rFonts w:eastAsia="Times New Roman"/>
          <w:b/>
          <w:color w:val="000000" w:themeColor="text1"/>
        </w:rPr>
        <w:t>Figure 1</w:t>
      </w:r>
      <w:r w:rsidRPr="003674FB">
        <w:rPr>
          <w:rFonts w:eastAsia="Times New Roman"/>
          <w:b/>
          <w:color w:val="000000" w:themeColor="text1"/>
        </w:rPr>
        <w:t xml:space="preserve"> </w:t>
      </w:r>
      <w:r>
        <w:rPr>
          <w:rFonts w:eastAsia="Times New Roman"/>
          <w:color w:val="000000" w:themeColor="text1"/>
        </w:rPr>
        <w:t>presents the payoff-</w:t>
      </w:r>
      <w:r w:rsidRPr="003674FB">
        <w:rPr>
          <w:rFonts w:eastAsia="Times New Roman"/>
          <w:color w:val="000000" w:themeColor="text1"/>
        </w:rPr>
        <w:t xml:space="preserve">structure of the litigation game, </w:t>
      </w:r>
      <w:r w:rsidRPr="003674FB">
        <w:rPr>
          <w:rFonts w:eastAsia="Times New Roman"/>
          <w:color w:val="000000"/>
          <w:shd w:val="clear" w:color="auto" w:fill="FFFFFF"/>
        </w:rPr>
        <w:t xml:space="preserve">a </w:t>
      </w:r>
      <w:r>
        <w:rPr>
          <w:rFonts w:eastAsia="Times New Roman"/>
          <w:color w:val="000000"/>
          <w:shd w:val="clear" w:color="auto" w:fill="FFFFFF"/>
        </w:rPr>
        <w:t>PD</w:t>
      </w:r>
      <w:r w:rsidRPr="003674FB">
        <w:rPr>
          <w:rFonts w:eastAsia="Times New Roman"/>
          <w:color w:val="000000"/>
          <w:shd w:val="clear" w:color="auto" w:fill="FFFFFF"/>
        </w:rPr>
        <w:t xml:space="preserve"> consisting of opposing parties and a judge. The game consists of two players who dispute the division of a given surplus</w:t>
      </w:r>
      <w:r w:rsidRPr="003674FB">
        <w:rPr>
          <w:rFonts w:eastAsia="Times New Roman"/>
          <w:color w:val="000000" w:themeColor="text1"/>
        </w:rPr>
        <w:t xml:space="preserve"> ($100). To resolve the dispute, players must simultaneously disclose information to the judge whose verdict will depen</w:t>
      </w:r>
      <w:r>
        <w:rPr>
          <w:rFonts w:eastAsia="Times New Roman"/>
          <w:color w:val="000000" w:themeColor="text1"/>
        </w:rPr>
        <w:t xml:space="preserve">d on the information disclosed. </w:t>
      </w:r>
      <w:r w:rsidRPr="003674FB">
        <w:rPr>
          <w:rFonts w:eastAsia="Times New Roman"/>
          <w:color w:val="000000" w:themeColor="text1"/>
        </w:rPr>
        <w:t>Specifically, players must simultaneously decide whether to cooperate and disclose all their private information or defect and hide unfavourable information. It is assumed that defection by one party bears a $15 discovery fee by the opposition to force disclosure of some of the opposition’s unfavourable information.</w:t>
      </w:r>
    </w:p>
    <w:p w14:paraId="014AFAE8" w14:textId="77777777" w:rsidR="00EB7AF3" w:rsidRDefault="00EB7AF3" w:rsidP="00B54813">
      <w:pPr>
        <w:spacing w:line="360" w:lineRule="auto"/>
      </w:pPr>
    </w:p>
    <w:p w14:paraId="21DC3921" w14:textId="77777777" w:rsidR="00D216C1" w:rsidRDefault="00D216C1" w:rsidP="00B54813">
      <w:pPr>
        <w:spacing w:line="360" w:lineRule="auto"/>
      </w:pPr>
    </w:p>
    <w:p w14:paraId="18887B23" w14:textId="77777777" w:rsidR="00D216C1" w:rsidRDefault="00D216C1" w:rsidP="00B54813">
      <w:pPr>
        <w:spacing w:line="360" w:lineRule="auto"/>
      </w:pPr>
    </w:p>
    <w:p w14:paraId="46E8A084" w14:textId="77777777" w:rsidR="00D216C1" w:rsidRDefault="00D216C1" w:rsidP="00B54813">
      <w:pPr>
        <w:spacing w:line="360" w:lineRule="auto"/>
      </w:pPr>
    </w:p>
    <w:p w14:paraId="38130C62" w14:textId="77777777" w:rsidR="00D216C1" w:rsidRPr="00EE0446" w:rsidRDefault="00D216C1" w:rsidP="00B54813">
      <w:pPr>
        <w:spacing w:line="360" w:lineRule="auto"/>
      </w:pPr>
    </w:p>
    <w:p w14:paraId="6806219B" w14:textId="77777777" w:rsidR="00B54813" w:rsidRPr="003674FB" w:rsidRDefault="00B54813" w:rsidP="00B54813">
      <w:pPr>
        <w:spacing w:line="360" w:lineRule="auto"/>
        <w:outlineLvl w:val="0"/>
        <w:rPr>
          <w:rFonts w:eastAsia="Times New Roman"/>
          <w:b/>
          <w:color w:val="000000" w:themeColor="text1"/>
          <w:u w:val="single"/>
        </w:rPr>
      </w:pPr>
      <w:r>
        <w:rPr>
          <w:rFonts w:eastAsia="Times New Roman"/>
          <w:b/>
          <w:color w:val="000000" w:themeColor="text1"/>
          <w:u w:val="single"/>
        </w:rPr>
        <w:t>Figure 1</w:t>
      </w:r>
      <w:r w:rsidRPr="003674FB">
        <w:rPr>
          <w:rFonts w:eastAsia="Times New Roman"/>
          <w:b/>
          <w:color w:val="000000" w:themeColor="text1"/>
          <w:u w:val="single"/>
        </w:rPr>
        <w:t xml:space="preserve">: The </w:t>
      </w:r>
      <w:r w:rsidRPr="00A64818">
        <w:rPr>
          <w:rFonts w:eastAsia="Times New Roman"/>
          <w:b/>
          <w:color w:val="000000" w:themeColor="text1"/>
          <w:u w:val="single"/>
        </w:rPr>
        <w:t>Litigation Game (Gilson and Mnookin, 1994)</w:t>
      </w:r>
    </w:p>
    <w:p w14:paraId="4E442873" w14:textId="77777777" w:rsidR="00B54813" w:rsidRPr="003674FB" w:rsidRDefault="00B54813" w:rsidP="00B54813">
      <w:pPr>
        <w:spacing w:line="360" w:lineRule="auto"/>
        <w:rPr>
          <w:rFonts w:eastAsia="Times New Roman"/>
          <w:color w:val="000000" w:themeColor="text1"/>
        </w:rPr>
      </w:pPr>
      <w:r w:rsidRPr="003674FB">
        <w:rPr>
          <w:noProof/>
        </w:rPr>
        <w:drawing>
          <wp:anchor distT="0" distB="0" distL="114300" distR="114300" simplePos="0" relativeHeight="251660288" behindDoc="0" locked="0" layoutInCell="1" allowOverlap="1" wp14:anchorId="5B8E4C15" wp14:editId="750CE0A6">
            <wp:simplePos x="0" y="0"/>
            <wp:positionH relativeFrom="column">
              <wp:posOffset>287020</wp:posOffset>
            </wp:positionH>
            <wp:positionV relativeFrom="paragraph">
              <wp:posOffset>208915</wp:posOffset>
            </wp:positionV>
            <wp:extent cx="5279390" cy="2056765"/>
            <wp:effectExtent l="0" t="0" r="3810" b="635"/>
            <wp:wrapSquare wrapText="bothSides"/>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22101"/>
                    <a:stretch/>
                  </pic:blipFill>
                  <pic:spPr bwMode="auto">
                    <a:xfrm>
                      <a:off x="0" y="0"/>
                      <a:ext cx="5279390" cy="2056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D0A842" w14:textId="77777777" w:rsidR="00B54813" w:rsidRPr="003674FB" w:rsidRDefault="00B54813" w:rsidP="00B54813">
      <w:pPr>
        <w:spacing w:line="360" w:lineRule="auto"/>
        <w:rPr>
          <w:rFonts w:eastAsia="Times New Roman"/>
          <w:color w:val="000000" w:themeColor="text1"/>
        </w:rPr>
      </w:pPr>
    </w:p>
    <w:p w14:paraId="44FB68DA" w14:textId="556EC643" w:rsidR="00B54813" w:rsidRPr="004C7FE3" w:rsidRDefault="00B54813" w:rsidP="00B54813">
      <w:pPr>
        <w:spacing w:line="360" w:lineRule="auto"/>
        <w:rPr>
          <w:rFonts w:eastAsia="Times New Roman"/>
          <w:color w:val="000000" w:themeColor="text1"/>
        </w:rPr>
      </w:pPr>
      <w:r w:rsidRPr="004C7FE3">
        <w:rPr>
          <w:rFonts w:eastAsia="Times New Roman"/>
          <w:color w:val="000000" w:themeColor="text1"/>
        </w:rPr>
        <w:t xml:space="preserve">Illustrated by </w:t>
      </w:r>
      <w:r w:rsidRPr="004C7FE3">
        <w:rPr>
          <w:rFonts w:eastAsia="Times New Roman"/>
          <w:b/>
          <w:color w:val="000000" w:themeColor="text1"/>
        </w:rPr>
        <w:t>Figure 1</w:t>
      </w:r>
      <w:r w:rsidRPr="004C7FE3">
        <w:rPr>
          <w:rFonts w:eastAsia="Times New Roman"/>
          <w:color w:val="000000" w:themeColor="text1"/>
        </w:rPr>
        <w:t>, the payoff structure shows that cooperation alleviates discovery expenses, awarding the players an even split at $50 each. Mutual defection results in an equal, albeit non Pareto-optimal outcome at $35 each, as both players are forced to pay a discovery fee to extract some of their rival’s unfavourable information. Finally, if one player defects, while the other attempts to cooperate, the former will be awarded with a higher payoff, of $70 and will avoid having to pay discovery fees. The latter, having disclosed all their sensitive information, will earn a lower payoff, at $30, followed by a deduction of $15 in discovery fees. The dominant strategy of the litigation game is defection and the Nash equilibrium is mutual defection. Gilson and Mnookin (1994) reason that disputants are induced to pursue contentious moves out of a desire to avoid exploitation, suppressing cooperation</w:t>
      </w:r>
      <w:r w:rsidR="00BC579C">
        <w:rPr>
          <w:rFonts w:eastAsia="Times New Roman"/>
          <w:color w:val="000000" w:themeColor="text1"/>
        </w:rPr>
        <w:t xml:space="preserve">, </w:t>
      </w:r>
      <w:r w:rsidRPr="004C7FE3">
        <w:rPr>
          <w:rFonts w:eastAsia="Times New Roman"/>
          <w:color w:val="000000" w:themeColor="text1"/>
        </w:rPr>
        <w:t xml:space="preserve">resulting in sub-optimal outcomes. </w:t>
      </w:r>
    </w:p>
    <w:p w14:paraId="7BF25AD1" w14:textId="77777777" w:rsidR="00B54813" w:rsidRPr="003674FB" w:rsidRDefault="00B54813" w:rsidP="00B54813">
      <w:pPr>
        <w:spacing w:line="360" w:lineRule="auto"/>
        <w:rPr>
          <w:rFonts w:eastAsia="Times New Roman"/>
          <w:color w:val="000000" w:themeColor="text1"/>
        </w:rPr>
      </w:pPr>
    </w:p>
    <w:p w14:paraId="1B930C26" w14:textId="77777777" w:rsidR="00B54813" w:rsidRPr="004C7FE3" w:rsidRDefault="00B54813" w:rsidP="00B54813">
      <w:pPr>
        <w:spacing w:line="360" w:lineRule="auto"/>
        <w:rPr>
          <w:rFonts w:eastAsia="Times New Roman"/>
          <w:color w:val="000000" w:themeColor="text1"/>
        </w:rPr>
      </w:pPr>
      <w:r w:rsidRPr="004C7FE3">
        <w:rPr>
          <w:rFonts w:eastAsia="Times New Roman"/>
          <w:color w:val="000000" w:themeColor="text1"/>
        </w:rPr>
        <w:t>The pre-litigation is a replication of the litigation game, but also consists of a preceding round wherein clients choose lawyers, based on their cooperative reputations, to play the game on their behalf. The model assumes that clients can effortlessly switch cooperative lawyers if their opponent chooses a gladiator (adversarial lawyer) before the initiation of the litigation game. The model further assumes that clients cannot switc</w:t>
      </w:r>
      <w:r>
        <w:rPr>
          <w:rFonts w:eastAsia="Times New Roman"/>
          <w:color w:val="000000" w:themeColor="text1"/>
        </w:rPr>
        <w:t>h law</w:t>
      </w:r>
      <w:r w:rsidRPr="004C7FE3">
        <w:rPr>
          <w:rFonts w:eastAsia="Times New Roman"/>
          <w:color w:val="000000" w:themeColor="text1"/>
        </w:rPr>
        <w:t>y</w:t>
      </w:r>
      <w:r>
        <w:rPr>
          <w:rFonts w:eastAsia="Times New Roman"/>
          <w:color w:val="000000" w:themeColor="text1"/>
        </w:rPr>
        <w:t>e</w:t>
      </w:r>
      <w:r w:rsidRPr="004C7FE3">
        <w:rPr>
          <w:rFonts w:eastAsia="Times New Roman"/>
          <w:color w:val="000000" w:themeColor="text1"/>
        </w:rPr>
        <w:t>rs once the litigation game begins. The authors reasoned that in this case, clients would be induced to choose cooperative lawyers, who could bind them to mutual-cooperation, knowing they can evade exploitation should their rival choose otherwise. Lawyers were reasoned to be inclined to commit to this cooperative strategy as deceiving clients would be akin to foregoing the premium associated with favourable reputations, indicating credibility. Accordingly, the authors posited that lawyers may facilitate social optimality, highlighting their potential to dampen, rather than exacerbate conflicts (Gilson and Mnookin, 1994). This prediction was corroborated by an experimental investigation of the two games</w:t>
      </w:r>
      <w:r>
        <w:rPr>
          <w:rFonts w:eastAsia="Times New Roman"/>
          <w:color w:val="000000" w:themeColor="text1"/>
        </w:rPr>
        <w:t>, which demonstrated</w:t>
      </w:r>
      <w:r w:rsidRPr="004C7FE3">
        <w:rPr>
          <w:rFonts w:eastAsia="Times New Roman"/>
          <w:color w:val="000000" w:themeColor="text1"/>
        </w:rPr>
        <w:t xml:space="preserve"> heightened cooperation in the pre-</w:t>
      </w:r>
      <w:r w:rsidRPr="008F7A8E">
        <w:rPr>
          <w:rFonts w:eastAsia="Times New Roman"/>
          <w:color w:val="000000" w:themeColor="text1"/>
        </w:rPr>
        <w:t xml:space="preserve">litigation game </w:t>
      </w:r>
      <w:r w:rsidRPr="008F7A8E">
        <w:rPr>
          <w:rFonts w:eastAsia="Times New Roman"/>
        </w:rPr>
        <w:t>(Croson and Mnookin, 1997).</w:t>
      </w:r>
      <w:r w:rsidRPr="004C7FE3">
        <w:rPr>
          <w:rFonts w:eastAsia="Times New Roman"/>
        </w:rPr>
        <w:t xml:space="preserve"> </w:t>
      </w:r>
    </w:p>
    <w:p w14:paraId="7345C9F8" w14:textId="77777777" w:rsidR="00B54813" w:rsidRPr="003674FB" w:rsidRDefault="00B54813" w:rsidP="00B54813">
      <w:pPr>
        <w:spacing w:line="360" w:lineRule="auto"/>
        <w:rPr>
          <w:rFonts w:eastAsia="Times New Roman"/>
        </w:rPr>
      </w:pPr>
    </w:p>
    <w:p w14:paraId="576229D3" w14:textId="54D5691F" w:rsidR="00B54813" w:rsidRDefault="00B54813" w:rsidP="00B54813">
      <w:pPr>
        <w:spacing w:line="360" w:lineRule="auto"/>
        <w:rPr>
          <w:rFonts w:eastAsia="Times New Roman"/>
          <w:color w:val="000000" w:themeColor="text1"/>
        </w:rPr>
      </w:pPr>
      <w:r w:rsidRPr="004C7FE3">
        <w:rPr>
          <w:rFonts w:eastAsia="Times New Roman"/>
          <w:color w:val="000000" w:themeColor="text1"/>
        </w:rPr>
        <w:t>Gilson and Mnookin’s (1994) and Croson and Mnookin (1997) addressed the need for further integration of agency theory and game theory</w:t>
      </w:r>
      <w:r>
        <w:rPr>
          <w:rFonts w:eastAsia="Times New Roman"/>
          <w:color w:val="000000" w:themeColor="text1"/>
        </w:rPr>
        <w:t>. Notably however,</w:t>
      </w:r>
      <w:r w:rsidRPr="004C7FE3">
        <w:rPr>
          <w:rFonts w:eastAsia="Times New Roman"/>
          <w:color w:val="000000" w:themeColor="text1"/>
        </w:rPr>
        <w:t xml:space="preserve"> Croson and Mnookin (1997) considered the demanding assumptions of their models and how these were not critically assessed as part of their experimental investigation. For instance, the fact that the reputations of lawyers were stable and known in advance.</w:t>
      </w:r>
      <w:r>
        <w:rPr>
          <w:rFonts w:eastAsia="Times New Roman"/>
          <w:color w:val="000000" w:themeColor="text1"/>
        </w:rPr>
        <w:t xml:space="preserve"> Indeed, their experimental investigation may have overlooked the potential for agency problems by depicting lawyers as proxies whose actions were predetermined by sophisticated clients. In real-life, if unsophisticated clients have no reliable means to verify a lawyer’s cooperative reputation ex-ante, adverse selection may result. </w:t>
      </w:r>
      <w:r w:rsidR="001C18BE">
        <w:rPr>
          <w:rFonts w:eastAsia="Times New Roman"/>
          <w:color w:val="000000" w:themeColor="text1"/>
        </w:rPr>
        <w:t>Further critique of the pre-litigation and litigation models includes the assumption that the costs of switching prior to the initiation of the dispute will not be overtly costly. However, the associated sunk-costs and its time-consuming nature, particularly for unsophisticated clients, suggests that barriers to switching, even at this stage, are likely</w:t>
      </w:r>
      <w:r w:rsidR="001C18BE">
        <w:rPr>
          <w:rStyle w:val="FootnoteReference"/>
          <w:rFonts w:eastAsia="Times New Roman"/>
          <w:color w:val="000000" w:themeColor="text1"/>
        </w:rPr>
        <w:footnoteReference w:id="10"/>
      </w:r>
      <w:r w:rsidR="001C18BE">
        <w:rPr>
          <w:rFonts w:eastAsia="Times New Roman"/>
          <w:color w:val="000000" w:themeColor="text1"/>
        </w:rPr>
        <w:t>. If clients cannot effortlessly switch, the cooperative equilibrium may be destabilised. Similarly, the cooperative equilibrium may be destabilised if one</w:t>
      </w:r>
      <w:r w:rsidR="009508D3">
        <w:rPr>
          <w:rFonts w:eastAsia="Times New Roman"/>
          <w:color w:val="000000" w:themeColor="text1"/>
        </w:rPr>
        <w:t xml:space="preserve"> party can bear greater transaction costs, which may enable them </w:t>
      </w:r>
      <w:r w:rsidR="001C18BE">
        <w:rPr>
          <w:rFonts w:eastAsia="Times New Roman"/>
          <w:color w:val="000000" w:themeColor="text1"/>
        </w:rPr>
        <w:t xml:space="preserve">to bait an adversary into choosing a cooperative lawyer, only to switch to an adversarial one at a point where switching would be too costly for the opposition. </w:t>
      </w:r>
      <w:r>
        <w:rPr>
          <w:rFonts w:eastAsia="Times New Roman"/>
          <w:color w:val="000000" w:themeColor="text1"/>
        </w:rPr>
        <w:t>A broader criticism of the pre-litigation model is the assumed premium that clients place on cooperative reputation and outcome. This assumption is reasoned to imply high sophistication amongst clients as it suggests their cognizance of the game’s payoff-structure.</w:t>
      </w:r>
      <w:r w:rsidRPr="003674FB">
        <w:rPr>
          <w:rStyle w:val="FootnoteReference"/>
          <w:rFonts w:eastAsia="Times New Roman"/>
          <w:color w:val="000000" w:themeColor="text1"/>
        </w:rPr>
        <w:footnoteReference w:id="11"/>
      </w:r>
      <w:r w:rsidRPr="003674FB">
        <w:rPr>
          <w:rFonts w:eastAsia="Times New Roman"/>
          <w:color w:val="000000" w:themeColor="text1"/>
        </w:rPr>
        <w:t xml:space="preserve"> </w:t>
      </w:r>
      <w:r>
        <w:rPr>
          <w:rFonts w:eastAsia="Times New Roman"/>
          <w:color w:val="000000" w:themeColor="text1"/>
        </w:rPr>
        <w:t xml:space="preserve">Unsophisticated and one-shot clients, who are only made cognizant of outcomes, rather than the game-structure, may destabilise the cooperative equilibrium by placing a premium on relative or absolute outcomes instead. In either case, the ‘defecting lawyer’ is best positioned to maximise their reputational surplus (exploit) or prevent excessive reputational penalties (avoid exploitation). The Nash equilibrium of mutual defection is thus expected. </w:t>
      </w:r>
      <w:r w:rsidR="001C18BE">
        <w:rPr>
          <w:rFonts w:eastAsia="Times New Roman"/>
          <w:color w:val="000000" w:themeColor="text1"/>
        </w:rPr>
        <w:t>This</w:t>
      </w:r>
      <w:r>
        <w:rPr>
          <w:rFonts w:eastAsia="Times New Roman"/>
          <w:color w:val="000000" w:themeColor="text1"/>
        </w:rPr>
        <w:t xml:space="preserve"> paper outlines how the incorporation of lawyers may restrain rather than improve client welfare.  </w:t>
      </w:r>
    </w:p>
    <w:p w14:paraId="6BEB71DF" w14:textId="77777777" w:rsidR="00B54813" w:rsidRPr="003674FB" w:rsidRDefault="00B54813" w:rsidP="00B54813">
      <w:pPr>
        <w:spacing w:line="360" w:lineRule="auto"/>
        <w:rPr>
          <w:rFonts w:eastAsia="Times New Roman"/>
          <w:color w:val="000000" w:themeColor="text1"/>
        </w:rPr>
      </w:pPr>
    </w:p>
    <w:p w14:paraId="427C5945" w14:textId="77777777" w:rsidR="00B54813" w:rsidRPr="003674FB" w:rsidRDefault="00B54813" w:rsidP="00B54813">
      <w:pPr>
        <w:pStyle w:val="ListParagraph"/>
        <w:numPr>
          <w:ilvl w:val="1"/>
          <w:numId w:val="1"/>
        </w:numPr>
        <w:spacing w:line="360" w:lineRule="auto"/>
        <w:rPr>
          <w:rFonts w:eastAsia="Times New Roman"/>
          <w:b/>
          <w:color w:val="000000" w:themeColor="text1"/>
          <w:shd w:val="clear" w:color="auto" w:fill="FFFFFF"/>
        </w:rPr>
      </w:pPr>
      <w:r w:rsidRPr="003674FB">
        <w:rPr>
          <w:rFonts w:eastAsia="Times New Roman"/>
          <w:b/>
          <w:color w:val="000000" w:themeColor="text1"/>
          <w:shd w:val="clear" w:color="auto" w:fill="FFFFFF"/>
        </w:rPr>
        <w:t>Deviation from the Prisoner’s Dilemma</w:t>
      </w:r>
    </w:p>
    <w:p w14:paraId="3B4A6FFA" w14:textId="2D61534D" w:rsidR="006637BC" w:rsidRDefault="00B54813" w:rsidP="00B54813">
      <w:pPr>
        <w:spacing w:line="360" w:lineRule="auto"/>
        <w:rPr>
          <w:rFonts w:eastAsia="Times New Roman"/>
          <w:color w:val="000000"/>
          <w:shd w:val="clear" w:color="auto" w:fill="FFFFFF"/>
        </w:rPr>
      </w:pPr>
      <w:r w:rsidRPr="003E6FB2">
        <w:rPr>
          <w:rFonts w:eastAsia="Times New Roman"/>
          <w:color w:val="000000"/>
          <w:shd w:val="clear" w:color="auto" w:fill="FFFFFF"/>
        </w:rPr>
        <w:t xml:space="preserve">The literature has favoured the Prisoner’s Dilemma, a static game of complete information </w:t>
      </w:r>
      <w:r w:rsidRPr="00D17A4F">
        <w:rPr>
          <w:rFonts w:eastAsia="Times New Roman"/>
          <w:color w:val="000000"/>
          <w:shd w:val="clear" w:color="auto" w:fill="FFFFFF"/>
        </w:rPr>
        <w:t xml:space="preserve">when modelling legal games (Ayres, </w:t>
      </w:r>
      <w:r w:rsidRPr="00D17A4F">
        <w:rPr>
          <w:rFonts w:eastAsia="Times New Roman"/>
          <w:color w:val="000000" w:themeColor="text1"/>
          <w:shd w:val="clear" w:color="auto" w:fill="FFFFFF"/>
        </w:rPr>
        <w:t>1990; Baird, Gertner and Picker, 1994; McAdams</w:t>
      </w:r>
      <w:r w:rsidRPr="00D17A4F">
        <w:rPr>
          <w:rFonts w:eastAsia="Times New Roman"/>
          <w:color w:val="000000"/>
          <w:shd w:val="clear" w:color="auto" w:fill="FFFFFF"/>
        </w:rPr>
        <w:t xml:space="preserve">, 2009). </w:t>
      </w:r>
      <w:r w:rsidR="006637BC" w:rsidRPr="00D17A4F">
        <w:rPr>
          <w:rFonts w:eastAsia="Times New Roman"/>
          <w:color w:val="000000"/>
          <w:shd w:val="clear" w:color="auto" w:fill="FFFFFF"/>
        </w:rPr>
        <w:t>Beyond</w:t>
      </w:r>
      <w:r w:rsidR="006637BC">
        <w:rPr>
          <w:rFonts w:eastAsia="Times New Roman"/>
          <w:color w:val="000000"/>
          <w:shd w:val="clear" w:color="auto" w:fill="FFFFFF"/>
        </w:rPr>
        <w:t xml:space="preserve"> Gilson and Mnookin’s (1994) litigation and pre-</w:t>
      </w:r>
      <w:r w:rsidR="006637BC" w:rsidRPr="00EA15F3">
        <w:rPr>
          <w:rFonts w:eastAsia="Times New Roman"/>
          <w:color w:val="000000"/>
          <w:shd w:val="clear" w:color="auto" w:fill="FFFFFF"/>
        </w:rPr>
        <w:t>litigation games, Lax and Sebenius (1986) depicted ‘the Negotiator’s dilemma’ as a Prisoner’s</w:t>
      </w:r>
      <w:r w:rsidR="006637BC">
        <w:rPr>
          <w:rFonts w:eastAsia="Times New Roman"/>
          <w:color w:val="000000"/>
          <w:shd w:val="clear" w:color="auto" w:fill="FFFFFF"/>
        </w:rPr>
        <w:t xml:space="preserve"> Dilemma in that individually rational decisions to pursue value-claiming tactics will result in a Nash equilibrium that foregoes joint-gains. </w:t>
      </w:r>
      <w:r w:rsidR="006637BC" w:rsidRPr="00C706B9">
        <w:rPr>
          <w:rFonts w:eastAsia="Times New Roman"/>
          <w:color w:val="000000"/>
          <w:shd w:val="clear" w:color="auto" w:fill="FFFFFF"/>
        </w:rPr>
        <w:t xml:space="preserve">Similarly, Wilkinson-Ryan and Small (2008) </w:t>
      </w:r>
      <w:r w:rsidR="00D216C1" w:rsidRPr="00C706B9">
        <w:rPr>
          <w:rFonts w:eastAsia="Times New Roman"/>
          <w:color w:val="000000"/>
          <w:shd w:val="clear" w:color="auto" w:fill="FFFFFF"/>
        </w:rPr>
        <w:t>briefly</w:t>
      </w:r>
      <w:r w:rsidR="00D216C1">
        <w:rPr>
          <w:rFonts w:eastAsia="Times New Roman"/>
          <w:color w:val="000000"/>
          <w:shd w:val="clear" w:color="auto" w:fill="FFFFFF"/>
        </w:rPr>
        <w:t xml:space="preserve"> outlined </w:t>
      </w:r>
      <w:r w:rsidR="006637BC">
        <w:t xml:space="preserve">how the static Prisoner’s Dilemma can model a “divorcee’s dilemma” in that cooperation is mutually beneficial, yet defection in the face of cooperation will result in a personally more favourable outcome. An overreliance on the Prisoner’s Dilemma led McAdams (2009) to urge </w:t>
      </w:r>
      <w:r w:rsidR="006637BC">
        <w:rPr>
          <w:rFonts w:eastAsia="Times New Roman"/>
          <w:color w:val="000000"/>
          <w:shd w:val="clear" w:color="auto" w:fill="FFFFFF"/>
        </w:rPr>
        <w:t xml:space="preserve">scholars </w:t>
      </w:r>
      <w:r w:rsidRPr="003E6FB2">
        <w:rPr>
          <w:rFonts w:eastAsia="Times New Roman"/>
          <w:color w:val="000000"/>
          <w:shd w:val="clear" w:color="auto" w:fill="FFFFFF"/>
        </w:rPr>
        <w:t xml:space="preserve">to consider alternative models following his evaluation of the Prisoner’s Dilemma as overused and overly simplistic. This paper adopts an intuitive, sequential and extensive-form model instead, the Centipede Game (CG). The </w:t>
      </w:r>
      <w:r w:rsidR="00B8729E">
        <w:rPr>
          <w:rFonts w:eastAsia="Times New Roman"/>
        </w:rPr>
        <w:t>IDBG</w:t>
      </w:r>
      <w:r w:rsidRPr="003E6FB2">
        <w:rPr>
          <w:rFonts w:eastAsia="Times New Roman"/>
          <w:color w:val="000000"/>
          <w:shd w:val="clear" w:color="auto" w:fill="FFFFFF"/>
        </w:rPr>
        <w:t xml:space="preserve"> extends the CG’s formulation to incorporate agency. </w:t>
      </w:r>
    </w:p>
    <w:p w14:paraId="454CEC1A" w14:textId="77777777" w:rsidR="006637BC" w:rsidRDefault="006637BC" w:rsidP="00B54813">
      <w:pPr>
        <w:spacing w:line="360" w:lineRule="auto"/>
        <w:rPr>
          <w:rFonts w:eastAsia="Times New Roman"/>
          <w:color w:val="000000"/>
          <w:shd w:val="clear" w:color="auto" w:fill="FFFFFF"/>
        </w:rPr>
      </w:pPr>
    </w:p>
    <w:p w14:paraId="144AFCB7" w14:textId="1B4AD4F4" w:rsidR="00B54813" w:rsidRPr="00BB0D9E" w:rsidRDefault="00B54813" w:rsidP="00B54813">
      <w:pPr>
        <w:spacing w:line="360" w:lineRule="auto"/>
      </w:pPr>
      <w:r w:rsidRPr="003674FB">
        <w:t xml:space="preserve">The CG, originally </w:t>
      </w:r>
      <w:r w:rsidRPr="00C97FAF">
        <w:t>introduced by Rosenthal (1981), is a</w:t>
      </w:r>
      <w:r w:rsidRPr="00FA1A61">
        <w:t xml:space="preserve"> finite</w:t>
      </w:r>
      <w:r w:rsidRPr="003674FB">
        <w:t xml:space="preserve"> game with a pre-determined number of alternating rounds. It is an extensive-form game with players making their moves sequentially. It is a game of complete information, meaning that each player knows the action set and payoff-function of each player, and that this is </w:t>
      </w:r>
      <w:r w:rsidRPr="001E3159">
        <w:t xml:space="preserve">common </w:t>
      </w:r>
      <w:r w:rsidRPr="00C97FAF">
        <w:t>knowledge (Tadelis, 2013). It</w:t>
      </w:r>
      <w:r w:rsidRPr="003674FB">
        <w:t xml:space="preserve"> is furthermore a game of perfect information, as players are aware of the complete history of the game </w:t>
      </w:r>
      <w:r w:rsidRPr="009A4A3D">
        <w:t>up to that point (Baird et al., 1994). An</w:t>
      </w:r>
      <w:r w:rsidRPr="003674FB">
        <w:t xml:space="preserve"> example of the CG is presented in </w:t>
      </w:r>
      <w:r w:rsidRPr="003674FB">
        <w:rPr>
          <w:b/>
        </w:rPr>
        <w:t xml:space="preserve">Figure </w:t>
      </w:r>
      <w:r>
        <w:rPr>
          <w:b/>
        </w:rPr>
        <w:t>2</w:t>
      </w:r>
      <w:r w:rsidRPr="003674FB">
        <w:t xml:space="preserve">, presenting a six-move game-tree utilised </w:t>
      </w:r>
      <w:r w:rsidRPr="00003677">
        <w:t xml:space="preserve">in </w:t>
      </w:r>
      <w:r w:rsidR="00BB0D9E">
        <w:t xml:space="preserve">McKelvey and Palfrey’s (1992) </w:t>
      </w:r>
      <w:r w:rsidRPr="00003677">
        <w:t>experimental</w:t>
      </w:r>
      <w:r w:rsidRPr="003674FB">
        <w:t xml:space="preserve"> investigation. In the CG, players take turns choosing to either ‘take’ (T), thereby terminating the game at the corresponding node, or ‘pass’ (P). Should a player choose to ‘pass’, the game continues onto the subsequent node, and so on back-and-forth until a player terminates the game or the last terminal node is reached. </w:t>
      </w:r>
      <w:r w:rsidRPr="003674FB">
        <w:rPr>
          <w:color w:val="000000" w:themeColor="text1"/>
        </w:rPr>
        <w:t>By choosing to ‘take’</w:t>
      </w:r>
      <w:r>
        <w:rPr>
          <w:color w:val="000000" w:themeColor="text1"/>
        </w:rPr>
        <w:t xml:space="preserve"> (T)</w:t>
      </w:r>
      <w:r w:rsidRPr="003674FB">
        <w:rPr>
          <w:color w:val="000000" w:themeColor="text1"/>
        </w:rPr>
        <w:t>, players guarantee a greater distributive share of the total pot. Alternatively, players may pursue joint-gains by choosing to ‘pass’</w:t>
      </w:r>
      <w:r>
        <w:rPr>
          <w:color w:val="000000" w:themeColor="text1"/>
        </w:rPr>
        <w:t xml:space="preserve"> (P)</w:t>
      </w:r>
      <w:r w:rsidRPr="003674FB">
        <w:rPr>
          <w:color w:val="000000" w:themeColor="text1"/>
        </w:rPr>
        <w:t xml:space="preserve">, but do so at a risk of a smaller distributive share should the opposing player choose ‘take’ in the subsequent decision node. </w:t>
      </w:r>
    </w:p>
    <w:p w14:paraId="1BCDC19D" w14:textId="77777777" w:rsidR="00B54813" w:rsidRDefault="00B54813" w:rsidP="00B54813">
      <w:pPr>
        <w:spacing w:line="360" w:lineRule="auto"/>
        <w:rPr>
          <w:color w:val="000000" w:themeColor="text1"/>
        </w:rPr>
      </w:pPr>
    </w:p>
    <w:p w14:paraId="3F89624D" w14:textId="77777777" w:rsidR="00B54813" w:rsidRDefault="00B54813" w:rsidP="00B54813">
      <w:pPr>
        <w:spacing w:line="360" w:lineRule="auto"/>
        <w:outlineLvl w:val="0"/>
        <w:rPr>
          <w:b/>
          <w:u w:val="single"/>
        </w:rPr>
      </w:pPr>
      <w:r w:rsidRPr="003674FB">
        <w:rPr>
          <w:noProof/>
          <w:color w:val="000000" w:themeColor="text1"/>
        </w:rPr>
        <w:drawing>
          <wp:anchor distT="0" distB="0" distL="114300" distR="114300" simplePos="0" relativeHeight="251659264" behindDoc="0" locked="0" layoutInCell="1" allowOverlap="1" wp14:anchorId="77F0F5FB" wp14:editId="7219A5E0">
            <wp:simplePos x="0" y="0"/>
            <wp:positionH relativeFrom="column">
              <wp:posOffset>42545</wp:posOffset>
            </wp:positionH>
            <wp:positionV relativeFrom="paragraph">
              <wp:posOffset>236855</wp:posOffset>
            </wp:positionV>
            <wp:extent cx="5672455" cy="1388110"/>
            <wp:effectExtent l="0" t="0" r="0" b="88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672455" cy="1388110"/>
                    </a:xfrm>
                    <a:prstGeom prst="rect">
                      <a:avLst/>
                    </a:prstGeom>
                  </pic:spPr>
                </pic:pic>
              </a:graphicData>
            </a:graphic>
            <wp14:sizeRelH relativeFrom="page">
              <wp14:pctWidth>0</wp14:pctWidth>
            </wp14:sizeRelH>
            <wp14:sizeRelV relativeFrom="page">
              <wp14:pctHeight>0</wp14:pctHeight>
            </wp14:sizeRelV>
          </wp:anchor>
        </w:drawing>
      </w:r>
      <w:r>
        <w:rPr>
          <w:b/>
          <w:u w:val="single"/>
        </w:rPr>
        <w:t>Figure 2</w:t>
      </w:r>
      <w:r w:rsidRPr="003674FB">
        <w:rPr>
          <w:b/>
          <w:u w:val="single"/>
        </w:rPr>
        <w:t xml:space="preserve">: Six-Move Exponential Centipede </w:t>
      </w:r>
      <w:r w:rsidRPr="000F59B3">
        <w:rPr>
          <w:b/>
          <w:u w:val="single"/>
        </w:rPr>
        <w:t>Game (McKelvey and Palfrey, 1992)</w:t>
      </w:r>
      <w:r w:rsidRPr="003674FB">
        <w:rPr>
          <w:b/>
          <w:u w:val="single"/>
        </w:rPr>
        <w:t xml:space="preserve"> </w:t>
      </w:r>
    </w:p>
    <w:p w14:paraId="148CFBA4" w14:textId="77777777" w:rsidR="00B54813" w:rsidRDefault="00B54813" w:rsidP="00B54813">
      <w:pPr>
        <w:spacing w:line="360" w:lineRule="auto"/>
        <w:rPr>
          <w:b/>
          <w:u w:val="single"/>
        </w:rPr>
      </w:pPr>
    </w:p>
    <w:p w14:paraId="7F9E89FB" w14:textId="1D4794D7" w:rsidR="00B54813" w:rsidRPr="009231F9" w:rsidRDefault="00B54813" w:rsidP="00B54813">
      <w:pPr>
        <w:spacing w:line="360" w:lineRule="auto"/>
        <w:rPr>
          <w:rFonts w:eastAsia="Times New Roman"/>
          <w:color w:val="000000" w:themeColor="text1"/>
        </w:rPr>
      </w:pPr>
      <w:r w:rsidRPr="004C7FE3">
        <w:rPr>
          <w:rFonts w:eastAsia="Times New Roman"/>
          <w:color w:val="000000" w:themeColor="text1"/>
        </w:rPr>
        <w:t xml:space="preserve">The CG’s extensive-form and sequential nature is consistent with most legal </w:t>
      </w:r>
      <w:r w:rsidRPr="008F7A8E">
        <w:rPr>
          <w:rFonts w:eastAsia="Times New Roman"/>
          <w:color w:val="000000" w:themeColor="text1"/>
        </w:rPr>
        <w:t>disputes (Cooter, Marks and Mnookin, 1982). Its finite</w:t>
      </w:r>
      <w:r w:rsidRPr="002B2684">
        <w:rPr>
          <w:rFonts w:eastAsia="Times New Roman"/>
          <w:color w:val="000000" w:themeColor="text1"/>
        </w:rPr>
        <w:t xml:space="preserve"> nature, with a pre-determined number of rounds, is also consistent with the time-constraints imposed on legal bargaining. Indeed, Cooter et al., (1982) described</w:t>
      </w:r>
      <w:r w:rsidRPr="004C7FE3">
        <w:rPr>
          <w:rFonts w:eastAsia="Times New Roman"/>
          <w:color w:val="000000" w:themeColor="text1"/>
        </w:rPr>
        <w:t xml:space="preserve"> how pre-trial negotiations will terminate if a settlement does not occur prior to a pre-determined date. Additionally, akin to real-life, </w:t>
      </w:r>
      <w:r>
        <w:rPr>
          <w:rFonts w:eastAsia="Times New Roman"/>
          <w:color w:val="000000" w:themeColor="text1"/>
        </w:rPr>
        <w:t xml:space="preserve">lawyers </w:t>
      </w:r>
      <w:r w:rsidRPr="004C7FE3">
        <w:rPr>
          <w:rFonts w:eastAsia="Times New Roman"/>
          <w:color w:val="000000" w:themeColor="text1"/>
        </w:rPr>
        <w:t>are aware of all prior interactions</w:t>
      </w:r>
      <w:r>
        <w:rPr>
          <w:rFonts w:eastAsia="Times New Roman"/>
          <w:color w:val="000000" w:themeColor="text1"/>
        </w:rPr>
        <w:t xml:space="preserve"> between themselves. </w:t>
      </w:r>
      <w:r w:rsidRPr="004C7FE3">
        <w:rPr>
          <w:rFonts w:eastAsia="Times New Roman"/>
          <w:color w:val="000000" w:themeColor="text1"/>
        </w:rPr>
        <w:t xml:space="preserve">Primarily however, </w:t>
      </w:r>
      <w:r>
        <w:rPr>
          <w:rFonts w:eastAsia="Times New Roman"/>
          <w:color w:val="000000" w:themeColor="text1"/>
        </w:rPr>
        <w:t xml:space="preserve">this paper applies the CG, because its decision-problems </w:t>
      </w:r>
      <w:r w:rsidRPr="00EA15F3">
        <w:rPr>
          <w:rFonts w:eastAsia="Times New Roman"/>
          <w:color w:val="000000" w:themeColor="text1"/>
        </w:rPr>
        <w:t xml:space="preserve">effectively model the tensions of the </w:t>
      </w:r>
      <w:r w:rsidRPr="00442267">
        <w:rPr>
          <w:rFonts w:eastAsia="Times New Roman"/>
          <w:color w:val="000000" w:themeColor="text1"/>
        </w:rPr>
        <w:t xml:space="preserve">integrative process </w:t>
      </w:r>
      <w:r w:rsidRPr="00442267">
        <w:rPr>
          <w:rFonts w:eastAsia="Times New Roman"/>
          <w:color w:val="000000" w:themeColor="text1"/>
          <w:shd w:val="clear" w:color="auto" w:fill="FFFFFF"/>
        </w:rPr>
        <w:t xml:space="preserve">(Lax and Sebenius, 1986; Sebenius, 1992; Maccoby and Mnookin, 1992; Mnookin, 1993; Murnighan et al., 1999; Mnookin et al., 2000). Recall how parties can exploit differences in preferences </w:t>
      </w:r>
      <w:r w:rsidRPr="00442267">
        <w:rPr>
          <w:rFonts w:eastAsia="Times New Roman"/>
          <w:color w:val="000000" w:themeColor="text1"/>
        </w:rPr>
        <w:t>to enlarge the ‘pie’ (Mnookin et al., 2000), yet unreciprocated disclosure will expose a party to risk in the form of a comparatively smaller share (Mnookin, 1993; Murnighan et al., 1999). Accordingly, ‘passing’ (divulging information) opens a client up to exploitation in the form of a smaller distributive share, should the opposition ‘take’ (exploit) in the subsequent node. However, in line with the game-structure, parties who evade disclosure may forego considerable joint-gains (Lax and Sebenius, 1986; Mnookin, 1993; Murnighan et al., 1999). The tension between creating value and claiming value has been termed the ‘negotiator’s dilemma</w:t>
      </w:r>
      <w:r w:rsidRPr="00EA15F3">
        <w:rPr>
          <w:rStyle w:val="FootnoteReference"/>
          <w:rFonts w:eastAsia="Times New Roman"/>
          <w:color w:val="000000" w:themeColor="text1"/>
        </w:rPr>
        <w:footnoteReference w:id="12"/>
      </w:r>
      <w:r w:rsidRPr="00EA15F3">
        <w:rPr>
          <w:rFonts w:eastAsia="Times New Roman"/>
          <w:color w:val="000000" w:themeColor="text1"/>
        </w:rPr>
        <w:t xml:space="preserve"> (Lax and Sebenius, 1986)</w:t>
      </w:r>
      <w:r>
        <w:rPr>
          <w:rFonts w:eastAsia="Times New Roman"/>
          <w:color w:val="000000" w:themeColor="text1"/>
        </w:rPr>
        <w:t xml:space="preserve"> and p</w:t>
      </w:r>
      <w:r w:rsidRPr="00481418">
        <w:rPr>
          <w:rFonts w:eastAsia="Times New Roman"/>
          <w:color w:val="000000" w:themeColor="text1"/>
        </w:rPr>
        <w:t>otentially consistent with game-theoretic predictions of the CG; parties may fail to attain integrative outcomes and</w:t>
      </w:r>
      <w:r w:rsidRPr="004C7FE3">
        <w:rPr>
          <w:rFonts w:eastAsia="Times New Roman"/>
          <w:color w:val="000000" w:themeColor="text1"/>
        </w:rPr>
        <w:t xml:space="preserve"> </w:t>
      </w:r>
      <w:r>
        <w:rPr>
          <w:rFonts w:eastAsia="Times New Roman"/>
          <w:color w:val="000000" w:themeColor="text1"/>
        </w:rPr>
        <w:t>leave joint gains on the table</w:t>
      </w:r>
      <w:r w:rsidRPr="004C7FE3">
        <w:rPr>
          <w:rFonts w:eastAsia="Times New Roman"/>
          <w:color w:val="000000" w:themeColor="text1"/>
        </w:rPr>
        <w:t xml:space="preserve"> because neither player is willing to disclose sensitive </w:t>
      </w:r>
      <w:r w:rsidRPr="00584FD0">
        <w:rPr>
          <w:rFonts w:eastAsia="Times New Roman"/>
          <w:color w:val="000000" w:themeColor="text1"/>
        </w:rPr>
        <w:t>information first (Lax and Sebenius, 1986).</w:t>
      </w:r>
      <w:r w:rsidRPr="004C7FE3">
        <w:rPr>
          <w:rFonts w:eastAsia="Times New Roman"/>
          <w:color w:val="000000" w:themeColor="text1"/>
        </w:rPr>
        <w:t xml:space="preserve"> </w:t>
      </w:r>
    </w:p>
    <w:p w14:paraId="0020665C" w14:textId="77777777" w:rsidR="00B54813" w:rsidRDefault="00B54813" w:rsidP="00B54813">
      <w:pPr>
        <w:spacing w:line="360" w:lineRule="auto"/>
        <w:rPr>
          <w:rFonts w:eastAsia="Times New Roman"/>
          <w:color w:val="000000" w:themeColor="text1"/>
        </w:rPr>
      </w:pPr>
    </w:p>
    <w:p w14:paraId="76039AC8" w14:textId="63BA362F" w:rsidR="00B54813" w:rsidRPr="007B005E" w:rsidRDefault="00B54813" w:rsidP="00B54813">
      <w:pPr>
        <w:spacing w:line="360" w:lineRule="auto"/>
        <w:rPr>
          <w:rFonts w:eastAsia="Times New Roman"/>
          <w:color w:val="000000" w:themeColor="text1"/>
        </w:rPr>
      </w:pPr>
      <w:r w:rsidRPr="003674FB">
        <w:rPr>
          <w:rFonts w:eastAsia="Times New Roman"/>
          <w:color w:val="000000" w:themeColor="text1"/>
        </w:rPr>
        <w:t xml:space="preserve">Applying the CG is limited by the fact that settlements require approval by both parties. Yet the idea that parties open themselves up to exploitation suggests that coercion is plausible. </w:t>
      </w:r>
      <w:r w:rsidRPr="00ED2124">
        <w:rPr>
          <w:rFonts w:eastAsia="Times New Roman"/>
          <w:color w:val="000000" w:themeColor="text1"/>
        </w:rPr>
        <w:t>Furthermore</w:t>
      </w:r>
      <w:r w:rsidRPr="008F7A8E">
        <w:rPr>
          <w:rFonts w:eastAsia="Times New Roman"/>
          <w:color w:val="000000" w:themeColor="text1"/>
        </w:rPr>
        <w:t>, Erlanger, Chambliss and Meli (1987) discussed</w:t>
      </w:r>
      <w:r w:rsidRPr="00ED2124">
        <w:rPr>
          <w:rFonts w:eastAsia="Times New Roman"/>
          <w:color w:val="000000" w:themeColor="text1"/>
        </w:rPr>
        <w:t xml:space="preserve"> the pressures that spouses may experience to settle, and suggested that settlements are often</w:t>
      </w:r>
      <w:r>
        <w:rPr>
          <w:rFonts w:eastAsia="Times New Roman"/>
          <w:color w:val="000000" w:themeColor="text1"/>
        </w:rPr>
        <w:t xml:space="preserve"> not mutually derived. </w:t>
      </w:r>
      <w:r w:rsidRPr="003674FB">
        <w:rPr>
          <w:rFonts w:eastAsia="Times New Roman"/>
          <w:color w:val="000000" w:themeColor="text1"/>
        </w:rPr>
        <w:t>Separately, real-life disputants may negl</w:t>
      </w:r>
      <w:r>
        <w:rPr>
          <w:rFonts w:eastAsia="Times New Roman"/>
          <w:color w:val="000000" w:themeColor="text1"/>
        </w:rPr>
        <w:t>ect the integrative process, yet</w:t>
      </w:r>
      <w:r w:rsidRPr="003674FB">
        <w:rPr>
          <w:rFonts w:eastAsia="Times New Roman"/>
          <w:color w:val="000000" w:themeColor="text1"/>
        </w:rPr>
        <w:t xml:space="preserve"> delays may still occur due to a mutual struggle for advantageous distributive shares. Such interaction may be more </w:t>
      </w:r>
      <w:r w:rsidRPr="002B2684">
        <w:rPr>
          <w:rFonts w:eastAsia="Times New Roman"/>
          <w:color w:val="000000" w:themeColor="text1"/>
        </w:rPr>
        <w:t xml:space="preserve">consistent </w:t>
      </w:r>
      <w:r w:rsidRPr="00ED2124">
        <w:rPr>
          <w:rFonts w:eastAsia="Times New Roman"/>
          <w:color w:val="000000" w:themeColor="text1"/>
        </w:rPr>
        <w:t xml:space="preserve">with </w:t>
      </w:r>
      <w:r w:rsidRPr="00ED2124">
        <w:rPr>
          <w:color w:val="000000" w:themeColor="text1"/>
        </w:rPr>
        <w:t>Cooter’s et al., (1982) model</w:t>
      </w:r>
      <w:r w:rsidRPr="009E33FB">
        <w:rPr>
          <w:color w:val="000000" w:themeColor="text1"/>
        </w:rPr>
        <w:t xml:space="preserve"> of bargaining</w:t>
      </w:r>
      <w:r w:rsidRPr="003674FB">
        <w:rPr>
          <w:color w:val="000000" w:themeColor="text1"/>
        </w:rPr>
        <w:t xml:space="preserve">, </w:t>
      </w:r>
      <w:r w:rsidRPr="003674FB">
        <w:rPr>
          <w:rFonts w:eastAsiaTheme="minorEastAsia"/>
          <w:shd w:val="clear" w:color="auto" w:fill="FFFFFF"/>
        </w:rPr>
        <w:t xml:space="preserve">wherein players make personally favourable demands, in a manner that balances a larger share of the stakes against a higher probability of trial. In general, negotiations are typically not purely integrative but instead, will have both integrative and </w:t>
      </w:r>
      <w:r w:rsidRPr="00414149">
        <w:rPr>
          <w:rFonts w:eastAsiaTheme="minorEastAsia"/>
          <w:shd w:val="clear" w:color="auto" w:fill="FFFFFF"/>
        </w:rPr>
        <w:t xml:space="preserve">distributive </w:t>
      </w:r>
      <w:r w:rsidRPr="00E651D4">
        <w:rPr>
          <w:rFonts w:eastAsiaTheme="minorEastAsia"/>
          <w:shd w:val="clear" w:color="auto" w:fill="FFFFFF"/>
        </w:rPr>
        <w:t xml:space="preserve">elements (Walton and McKersie, 1965). An extension of the </w:t>
      </w:r>
      <w:r w:rsidR="00B8729E">
        <w:rPr>
          <w:rFonts w:eastAsia="Times New Roman"/>
        </w:rPr>
        <w:t>IDBG</w:t>
      </w:r>
      <w:r w:rsidRPr="00E651D4">
        <w:rPr>
          <w:rFonts w:eastAsiaTheme="minorEastAsia"/>
          <w:shd w:val="clear" w:color="auto" w:fill="FFFFFF"/>
        </w:rPr>
        <w:t>, not developed further here, may overcome these limitations. Rather</w:t>
      </w:r>
      <w:r>
        <w:rPr>
          <w:rFonts w:eastAsiaTheme="minorEastAsia"/>
          <w:shd w:val="clear" w:color="auto" w:fill="FFFFFF"/>
        </w:rPr>
        <w:t xml:space="preserve"> tha</w:t>
      </w:r>
      <w:r w:rsidRPr="003674FB">
        <w:rPr>
          <w:rFonts w:eastAsiaTheme="minorEastAsia"/>
          <w:shd w:val="clear" w:color="auto" w:fill="FFFFFF"/>
        </w:rPr>
        <w:t xml:space="preserve">n represent the client’s final distributive share, a client’s outcome in the </w:t>
      </w:r>
      <w:r w:rsidR="00B8729E">
        <w:rPr>
          <w:rFonts w:eastAsia="Times New Roman"/>
        </w:rPr>
        <w:t>IDBG</w:t>
      </w:r>
      <w:r w:rsidRPr="003674FB">
        <w:rPr>
          <w:rFonts w:eastAsiaTheme="minorEastAsia"/>
          <w:shd w:val="clear" w:color="auto" w:fill="FFFFFF"/>
        </w:rPr>
        <w:t xml:space="preserve"> may instead reflect their bargaining advantage</w:t>
      </w:r>
      <w:r>
        <w:rPr>
          <w:rFonts w:eastAsiaTheme="minorEastAsia"/>
          <w:shd w:val="clear" w:color="auto" w:fill="FFFFFF"/>
        </w:rPr>
        <w:t>,</w:t>
      </w:r>
      <w:r w:rsidRPr="003674FB">
        <w:rPr>
          <w:rFonts w:eastAsiaTheme="minorEastAsia"/>
          <w:shd w:val="clear" w:color="auto" w:fill="FFFFFF"/>
        </w:rPr>
        <w:t xml:space="preserve"> should they decide to abandon the integrative process </w:t>
      </w:r>
      <w:r w:rsidRPr="00003677">
        <w:rPr>
          <w:rFonts w:eastAsiaTheme="minorEastAsia"/>
          <w:shd w:val="clear" w:color="auto" w:fill="FFFFFF"/>
        </w:rPr>
        <w:t>in favour of distributive tactics. Finally</w:t>
      </w:r>
      <w:r w:rsidRPr="003674FB">
        <w:rPr>
          <w:rFonts w:eastAsiaTheme="minorEastAsia"/>
          <w:shd w:val="clear" w:color="auto" w:fill="FFFFFF"/>
        </w:rPr>
        <w:t xml:space="preserve">, complete information may constitute a limitation as it suggests that players are aware of all potential future outcomes. </w:t>
      </w:r>
      <w:r>
        <w:rPr>
          <w:rFonts w:eastAsiaTheme="minorEastAsia"/>
          <w:shd w:val="clear" w:color="auto" w:fill="FFFFFF"/>
        </w:rPr>
        <w:t xml:space="preserve">Note however, that the </w:t>
      </w:r>
      <w:r w:rsidR="00B8729E">
        <w:rPr>
          <w:rFonts w:eastAsia="Times New Roman"/>
        </w:rPr>
        <w:t>IDBG</w:t>
      </w:r>
      <w:r>
        <w:rPr>
          <w:rFonts w:eastAsiaTheme="minorEastAsia"/>
          <w:shd w:val="clear" w:color="auto" w:fill="FFFFFF"/>
        </w:rPr>
        <w:t xml:space="preserve"> models how expert lawyers play the game. The lawyer’s competence and experience may therefore plausibly provide them with insight into the oppositions’ potential counter-moves. </w:t>
      </w:r>
      <w:r w:rsidRPr="003674FB">
        <w:rPr>
          <w:rFonts w:eastAsiaTheme="minorEastAsia"/>
          <w:shd w:val="clear" w:color="auto" w:fill="FFFFFF"/>
        </w:rPr>
        <w:t xml:space="preserve">At the very least, lawyers are assumed to understand that disclosure creates vulnerabilities. </w:t>
      </w:r>
    </w:p>
    <w:p w14:paraId="0355CFD1" w14:textId="77777777" w:rsidR="00B54813" w:rsidRPr="00F40658" w:rsidRDefault="00B54813" w:rsidP="00B54813">
      <w:pPr>
        <w:spacing w:line="360" w:lineRule="auto"/>
        <w:rPr>
          <w:rFonts w:eastAsiaTheme="minorEastAsia"/>
          <w:shd w:val="clear" w:color="auto" w:fill="FFFFFF"/>
        </w:rPr>
      </w:pPr>
    </w:p>
    <w:p w14:paraId="0E1228AC" w14:textId="77777777" w:rsidR="00B54813" w:rsidRPr="003674FB" w:rsidRDefault="00B54813" w:rsidP="00B54813">
      <w:pPr>
        <w:pStyle w:val="ListParagraph"/>
        <w:numPr>
          <w:ilvl w:val="1"/>
          <w:numId w:val="1"/>
        </w:numPr>
        <w:spacing w:line="360" w:lineRule="auto"/>
        <w:rPr>
          <w:rFonts w:eastAsiaTheme="minorEastAsia"/>
          <w:b/>
          <w:shd w:val="clear" w:color="auto" w:fill="FFFFFF"/>
        </w:rPr>
      </w:pPr>
      <w:r>
        <w:rPr>
          <w:rFonts w:eastAsiaTheme="minorEastAsia"/>
          <w:b/>
          <w:shd w:val="clear" w:color="auto" w:fill="FFFFFF"/>
        </w:rPr>
        <w:t xml:space="preserve">The </w:t>
      </w:r>
      <w:r w:rsidRPr="003674FB">
        <w:rPr>
          <w:rFonts w:eastAsiaTheme="minorEastAsia"/>
          <w:b/>
          <w:shd w:val="clear" w:color="auto" w:fill="FFFFFF"/>
        </w:rPr>
        <w:t xml:space="preserve">Centipede Game </w:t>
      </w:r>
    </w:p>
    <w:p w14:paraId="69AEF43F" w14:textId="370E072D" w:rsidR="00B54813" w:rsidRDefault="00B54813" w:rsidP="00B54813">
      <w:pPr>
        <w:spacing w:line="360" w:lineRule="auto"/>
        <w:rPr>
          <w:rFonts w:eastAsiaTheme="minorEastAsia"/>
          <w:color w:val="000000" w:themeColor="text1"/>
          <w:shd w:val="clear" w:color="auto" w:fill="FFFFFF"/>
        </w:rPr>
      </w:pPr>
      <w:r w:rsidRPr="003674FB">
        <w:rPr>
          <w:rFonts w:eastAsiaTheme="minorEastAsia"/>
          <w:color w:val="000000" w:themeColor="text1"/>
          <w:shd w:val="clear" w:color="auto" w:fill="FFFFFF"/>
        </w:rPr>
        <w:t xml:space="preserve">The standard game-theoretic solution to the CG is identified using backward </w:t>
      </w:r>
      <w:r w:rsidRPr="00D84550">
        <w:rPr>
          <w:rFonts w:eastAsiaTheme="minorEastAsia"/>
          <w:color w:val="000000" w:themeColor="text1"/>
          <w:shd w:val="clear" w:color="auto" w:fill="FFFFFF"/>
        </w:rPr>
        <w:t xml:space="preserve">induction </w:t>
      </w:r>
      <w:r w:rsidRPr="00DA2021">
        <w:rPr>
          <w:rFonts w:eastAsiaTheme="minorEastAsia"/>
          <w:color w:val="000000" w:themeColor="text1"/>
          <w:shd w:val="clear" w:color="auto" w:fill="FFFFFF"/>
        </w:rPr>
        <w:t>(Gerber, 2007) given its applicability</w:t>
      </w:r>
      <w:r>
        <w:rPr>
          <w:rFonts w:eastAsiaTheme="minorEastAsia"/>
          <w:color w:val="000000" w:themeColor="text1"/>
          <w:shd w:val="clear" w:color="auto" w:fill="FFFFFF"/>
        </w:rPr>
        <w:t xml:space="preserve"> to finitely repeated games, and games with perfect </w:t>
      </w:r>
      <w:r w:rsidRPr="008F7A8E">
        <w:rPr>
          <w:rFonts w:eastAsiaTheme="minorEastAsia"/>
          <w:color w:val="000000" w:themeColor="text1"/>
          <w:shd w:val="clear" w:color="auto" w:fill="FFFFFF"/>
        </w:rPr>
        <w:t xml:space="preserve">information </w:t>
      </w:r>
      <w:r w:rsidR="009E1796" w:rsidRPr="008F7A8E">
        <w:rPr>
          <w:rFonts w:eastAsiaTheme="minorEastAsia"/>
          <w:color w:val="000000" w:themeColor="text1"/>
          <w:shd w:val="clear" w:color="auto" w:fill="FFFFFF"/>
        </w:rPr>
        <w:t>(Bornstein, Kugler and Ziegelmeyer,</w:t>
      </w:r>
      <w:r w:rsidRPr="008F7A8E">
        <w:rPr>
          <w:rFonts w:eastAsiaTheme="minorEastAsia"/>
          <w:color w:val="000000" w:themeColor="text1"/>
          <w:shd w:val="clear" w:color="auto" w:fill="FFFFFF"/>
        </w:rPr>
        <w:t xml:space="preserve"> 2004).</w:t>
      </w:r>
      <w:r>
        <w:rPr>
          <w:rFonts w:eastAsiaTheme="minorEastAsia"/>
          <w:color w:val="000000" w:themeColor="text1"/>
          <w:shd w:val="clear" w:color="auto" w:fill="FFFFFF"/>
        </w:rPr>
        <w:t xml:space="preserve"> Backward induction </w:t>
      </w:r>
      <w:r w:rsidRPr="003674FB">
        <w:rPr>
          <w:rFonts w:eastAsiaTheme="minorEastAsia"/>
          <w:color w:val="000000" w:themeColor="text1"/>
          <w:shd w:val="clear" w:color="auto" w:fill="FFFFFF"/>
        </w:rPr>
        <w:t xml:space="preserve">refers to the thought process that starts at nodes directly preceding the terminal node at the end of the game-tree, and proceeding to inductively move back to determine the optimal choice based on each </w:t>
      </w:r>
      <w:r w:rsidRPr="001E3159">
        <w:rPr>
          <w:rFonts w:eastAsiaTheme="minorEastAsia"/>
          <w:color w:val="000000" w:themeColor="text1"/>
          <w:shd w:val="clear" w:color="auto" w:fill="FFFFFF"/>
        </w:rPr>
        <w:t>information-</w:t>
      </w:r>
      <w:r w:rsidRPr="00C97FAF">
        <w:rPr>
          <w:rFonts w:eastAsiaTheme="minorEastAsia"/>
          <w:color w:val="000000" w:themeColor="text1"/>
          <w:shd w:val="clear" w:color="auto" w:fill="FFFFFF"/>
        </w:rPr>
        <w:t>set (Tadelis, 2013).</w:t>
      </w:r>
      <w:r w:rsidRPr="001E3159">
        <w:rPr>
          <w:rFonts w:eastAsiaTheme="minorEastAsia"/>
          <w:color w:val="000000" w:themeColor="text1"/>
          <w:shd w:val="clear" w:color="auto" w:fill="FFFFFF"/>
        </w:rPr>
        <w:t xml:space="preserve"> This</w:t>
      </w:r>
      <w:r w:rsidRPr="003674FB">
        <w:rPr>
          <w:rFonts w:eastAsiaTheme="minorEastAsia"/>
          <w:color w:val="000000" w:themeColor="text1"/>
          <w:shd w:val="clear" w:color="auto" w:fill="FFFFFF"/>
        </w:rPr>
        <w:t xml:space="preserve"> process assumes sequential rationality, the assumption that each player is choosing the best response to their information-set and that this is common knowledge (Tadelis, 2013). Interestingly, defection at the first node is </w:t>
      </w:r>
      <w:r>
        <w:rPr>
          <w:rFonts w:eastAsiaTheme="minorEastAsia"/>
          <w:color w:val="000000" w:themeColor="text1"/>
          <w:shd w:val="clear" w:color="auto" w:fill="FFFFFF"/>
        </w:rPr>
        <w:t>the game-theoretic prediction, the Nash equilibrium of the CG. That is, game t</w:t>
      </w:r>
      <w:r w:rsidRPr="003674FB">
        <w:rPr>
          <w:rFonts w:eastAsiaTheme="minorEastAsia"/>
          <w:color w:val="000000" w:themeColor="text1"/>
          <w:shd w:val="clear" w:color="auto" w:fill="FFFFFF"/>
        </w:rPr>
        <w:t>heory predicts that Player 1 will ‘take’ and terminate the game at the first node. The logic follows that at Player 2’s last information-set, a rational player is assumed to ‘take’, opting for a higher distributive share. In turn, the rational Player 1 will anticipate this action and is thereby assumed to choose</w:t>
      </w:r>
      <w:r>
        <w:rPr>
          <w:rFonts w:eastAsiaTheme="minorEastAsia"/>
          <w:color w:val="000000" w:themeColor="text1"/>
          <w:shd w:val="clear" w:color="auto" w:fill="FFFFFF"/>
        </w:rPr>
        <w:t xml:space="preserve"> to</w:t>
      </w:r>
      <w:r w:rsidRPr="003674FB">
        <w:rPr>
          <w:rFonts w:eastAsiaTheme="minorEastAsia"/>
          <w:color w:val="000000" w:themeColor="text1"/>
          <w:shd w:val="clear" w:color="auto" w:fill="FFFFFF"/>
        </w:rPr>
        <w:t xml:space="preserve"> ‘take’ in the prior node. Because sequential rationality is assumed, this logic follows back until Player 1’s first information-set, where they are predicted to ‘take’ at the first node. </w:t>
      </w:r>
      <w:r w:rsidR="00B125E5">
        <w:rPr>
          <w:rFonts w:eastAsiaTheme="minorEastAsia"/>
          <w:color w:val="000000" w:themeColor="text1"/>
          <w:shd w:val="clear" w:color="auto" w:fill="FFFFFF"/>
        </w:rPr>
        <w:t>However, b</w:t>
      </w:r>
      <w:r>
        <w:rPr>
          <w:rFonts w:eastAsiaTheme="minorEastAsia"/>
          <w:color w:val="000000" w:themeColor="text1"/>
          <w:shd w:val="clear" w:color="auto" w:fill="FFFFFF"/>
        </w:rPr>
        <w:t xml:space="preserve">ackward induction has often failed to account for choice </w:t>
      </w:r>
      <w:r w:rsidRPr="00084B77">
        <w:rPr>
          <w:rFonts w:eastAsiaTheme="minorEastAsia"/>
          <w:color w:val="000000" w:themeColor="text1"/>
          <w:shd w:val="clear" w:color="auto" w:fill="FFFFFF"/>
        </w:rPr>
        <w:t xml:space="preserve">behaviour </w:t>
      </w:r>
      <w:r w:rsidRPr="00252CF0">
        <w:rPr>
          <w:rFonts w:eastAsiaTheme="minorEastAsia"/>
          <w:color w:val="000000" w:themeColor="text1"/>
          <w:shd w:val="clear" w:color="auto" w:fill="FFFFFF"/>
        </w:rPr>
        <w:t>and</w:t>
      </w:r>
      <w:r>
        <w:rPr>
          <w:rFonts w:eastAsiaTheme="minorEastAsia"/>
          <w:color w:val="000000" w:themeColor="text1"/>
          <w:shd w:val="clear" w:color="auto" w:fill="FFFFFF"/>
        </w:rPr>
        <w:t xml:space="preserve"> </w:t>
      </w:r>
      <w:r w:rsidRPr="00D17A4F">
        <w:rPr>
          <w:rFonts w:eastAsiaTheme="minorEastAsia"/>
          <w:color w:val="000000" w:themeColor="text1"/>
          <w:shd w:val="clear" w:color="auto" w:fill="FFFFFF"/>
        </w:rPr>
        <w:t xml:space="preserve">equilibrium play is rarely identified in experiments of the centipede game (McKelvey and </w:t>
      </w:r>
      <w:r w:rsidRPr="00E651D4">
        <w:rPr>
          <w:rFonts w:eastAsiaTheme="minorEastAsia"/>
          <w:color w:val="000000" w:themeColor="text1"/>
          <w:shd w:val="clear" w:color="auto" w:fill="FFFFFF"/>
        </w:rPr>
        <w:t xml:space="preserve">Palfrey, 1992; Zauner, 1999; </w:t>
      </w:r>
      <w:r w:rsidRPr="00442267">
        <w:rPr>
          <w:rFonts w:eastAsiaTheme="minorEastAsia"/>
          <w:color w:val="000000" w:themeColor="text1"/>
          <w:shd w:val="clear" w:color="auto" w:fill="FFFFFF"/>
        </w:rPr>
        <w:t>Parco, Rapoport and Stein, 2002).</w:t>
      </w:r>
      <w:r w:rsidRPr="00B07B0C">
        <w:rPr>
          <w:rFonts w:eastAsiaTheme="minorEastAsia"/>
          <w:color w:val="000000" w:themeColor="text1"/>
          <w:shd w:val="clear" w:color="auto" w:fill="FFFFFF"/>
        </w:rPr>
        <w:t xml:space="preserve"> In</w:t>
      </w:r>
      <w:r>
        <w:rPr>
          <w:rFonts w:eastAsiaTheme="minorEastAsia"/>
          <w:color w:val="000000" w:themeColor="text1"/>
          <w:shd w:val="clear" w:color="auto" w:fill="FFFFFF"/>
        </w:rPr>
        <w:t xml:space="preserve"> general, backward inductio</w:t>
      </w:r>
      <w:r w:rsidRPr="00DA2021">
        <w:rPr>
          <w:rFonts w:eastAsiaTheme="minorEastAsia"/>
          <w:color w:val="000000" w:themeColor="text1"/>
          <w:shd w:val="clear" w:color="auto" w:fill="FFFFFF"/>
        </w:rPr>
        <w:t xml:space="preserve">n </w:t>
      </w:r>
      <w:r w:rsidRPr="00D17A4F">
        <w:rPr>
          <w:rFonts w:eastAsiaTheme="minorEastAsia"/>
          <w:color w:val="000000" w:themeColor="text1"/>
          <w:shd w:val="clear" w:color="auto" w:fill="FFFFFF"/>
        </w:rPr>
        <w:t>is found to be at odds with human behaviour and intuition (García-Pola, Iriberri and Kovarik, 2020</w:t>
      </w:r>
      <w:r w:rsidR="00786EED" w:rsidRPr="00D17A4F">
        <w:rPr>
          <w:rFonts w:eastAsiaTheme="minorEastAsia"/>
          <w:color w:val="000000" w:themeColor="text1"/>
          <w:shd w:val="clear" w:color="auto" w:fill="FFFFFF"/>
        </w:rPr>
        <w:t>)</w:t>
      </w:r>
      <w:r w:rsidR="00480E8F" w:rsidRPr="00D17A4F">
        <w:rPr>
          <w:rFonts w:eastAsiaTheme="minorEastAsia"/>
          <w:color w:val="000000" w:themeColor="text1"/>
          <w:shd w:val="clear" w:color="auto" w:fill="FFFFFF"/>
        </w:rPr>
        <w:t xml:space="preserve">. </w:t>
      </w:r>
      <w:r w:rsidRPr="00D17A4F">
        <w:rPr>
          <w:rFonts w:eastAsiaTheme="minorEastAsia"/>
          <w:color w:val="000000" w:themeColor="text1"/>
          <w:shd w:val="clear" w:color="auto" w:fill="FFFFFF"/>
        </w:rPr>
        <w:t>Notably, McKelvey and Palfrey (</w:t>
      </w:r>
      <w:r w:rsidR="00D216C1" w:rsidRPr="00D17A4F">
        <w:rPr>
          <w:rFonts w:eastAsiaTheme="minorEastAsia"/>
          <w:color w:val="000000" w:themeColor="text1"/>
          <w:shd w:val="clear" w:color="auto" w:fill="FFFFFF"/>
        </w:rPr>
        <w:t>1992)</w:t>
      </w:r>
      <w:r w:rsidRPr="00D17A4F">
        <w:rPr>
          <w:rFonts w:eastAsiaTheme="minorEastAsia"/>
          <w:color w:val="000000" w:themeColor="text1"/>
          <w:shd w:val="clear" w:color="auto" w:fill="FFFFFF"/>
        </w:rPr>
        <w:t>, demonstrated</w:t>
      </w:r>
      <w:r w:rsidRPr="003674FB">
        <w:rPr>
          <w:rFonts w:eastAsiaTheme="minorEastAsia"/>
          <w:color w:val="000000" w:themeColor="text1"/>
          <w:shd w:val="clear" w:color="auto" w:fill="FFFFFF"/>
        </w:rPr>
        <w:t xml:space="preserve"> that only 1% of participants playing the 6-move exponential CG, illustrated in </w:t>
      </w:r>
      <w:r w:rsidRPr="003674FB">
        <w:rPr>
          <w:rFonts w:eastAsiaTheme="minorEastAsia"/>
          <w:b/>
          <w:color w:val="000000" w:themeColor="text1"/>
          <w:shd w:val="clear" w:color="auto" w:fill="FFFFFF"/>
        </w:rPr>
        <w:t xml:space="preserve">Figure </w:t>
      </w:r>
      <w:r>
        <w:rPr>
          <w:rFonts w:eastAsiaTheme="minorEastAsia"/>
          <w:b/>
          <w:color w:val="000000" w:themeColor="text1"/>
          <w:shd w:val="clear" w:color="auto" w:fill="FFFFFF"/>
        </w:rPr>
        <w:t>2</w:t>
      </w:r>
      <w:r w:rsidRPr="003674FB">
        <w:rPr>
          <w:rFonts w:eastAsiaTheme="minorEastAsia"/>
          <w:color w:val="000000" w:themeColor="text1"/>
          <w:shd w:val="clear" w:color="auto" w:fill="FFFFFF"/>
        </w:rPr>
        <w:t xml:space="preserve">, </w:t>
      </w:r>
      <w:r>
        <w:rPr>
          <w:rFonts w:eastAsiaTheme="minorEastAsia"/>
          <w:color w:val="000000" w:themeColor="text1"/>
          <w:shd w:val="clear" w:color="auto" w:fill="FFFFFF"/>
        </w:rPr>
        <w:t>followed the game-theoretic prediction</w:t>
      </w:r>
      <w:r w:rsidRPr="003674FB">
        <w:rPr>
          <w:rFonts w:eastAsiaTheme="minorEastAsia"/>
          <w:color w:val="000000" w:themeColor="text1"/>
          <w:shd w:val="clear" w:color="auto" w:fill="FFFFFF"/>
        </w:rPr>
        <w:t xml:space="preserve">. A systematic review of experimental investigations of the CG has illustrated consistent </w:t>
      </w:r>
      <w:r>
        <w:rPr>
          <w:rFonts w:eastAsiaTheme="minorEastAsia"/>
          <w:color w:val="000000" w:themeColor="text1"/>
          <w:shd w:val="clear" w:color="auto" w:fill="FFFFFF"/>
        </w:rPr>
        <w:t>deviation from equilibrium play</w:t>
      </w:r>
      <w:r w:rsidRPr="009E615F">
        <w:rPr>
          <w:rFonts w:eastAsiaTheme="minorEastAsia"/>
          <w:color w:val="000000" w:themeColor="text1"/>
          <w:shd w:val="clear" w:color="auto" w:fill="FFFFFF"/>
        </w:rPr>
        <w:t xml:space="preserve">, even among those fully capable of </w:t>
      </w:r>
      <w:r w:rsidRPr="00083106">
        <w:rPr>
          <w:rFonts w:eastAsiaTheme="minorEastAsia"/>
          <w:color w:val="000000" w:themeColor="text1"/>
          <w:shd w:val="clear" w:color="auto" w:fill="FFFFFF"/>
        </w:rPr>
        <w:t xml:space="preserve">backward </w:t>
      </w:r>
      <w:r w:rsidRPr="00CF4271">
        <w:rPr>
          <w:rFonts w:eastAsiaTheme="minorEastAsia"/>
          <w:color w:val="000000" w:themeColor="text1"/>
          <w:shd w:val="clear" w:color="auto" w:fill="FFFFFF"/>
        </w:rPr>
        <w:t>induction (Krockow, Colman and Pulford (2016). The</w:t>
      </w:r>
      <w:r w:rsidRPr="00083106">
        <w:rPr>
          <w:rFonts w:eastAsiaTheme="minorEastAsia"/>
          <w:color w:val="000000" w:themeColor="text1"/>
          <w:shd w:val="clear" w:color="auto" w:fill="FFFFFF"/>
        </w:rPr>
        <w:t xml:space="preserve"> Nash equilibrium is </w:t>
      </w:r>
      <w:r w:rsidRPr="00DA2021">
        <w:rPr>
          <w:rFonts w:eastAsiaTheme="minorEastAsia"/>
          <w:color w:val="000000" w:themeColor="text1"/>
          <w:shd w:val="clear" w:color="auto" w:fill="FFFFFF"/>
        </w:rPr>
        <w:t>therefore considered an unconvincing prediction of how real-life participants play the centipede game (Gerber, 2007).</w:t>
      </w:r>
      <w:r>
        <w:rPr>
          <w:rFonts w:eastAsiaTheme="minorEastAsia"/>
          <w:color w:val="000000" w:themeColor="text1"/>
          <w:shd w:val="clear" w:color="auto" w:fill="FFFFFF"/>
        </w:rPr>
        <w:t xml:space="preserve"> </w:t>
      </w:r>
    </w:p>
    <w:p w14:paraId="081236DB" w14:textId="77777777" w:rsidR="00480E8F" w:rsidRDefault="00480E8F" w:rsidP="00B54813">
      <w:pPr>
        <w:spacing w:line="360" w:lineRule="auto"/>
        <w:rPr>
          <w:rFonts w:eastAsiaTheme="minorEastAsia"/>
          <w:color w:val="000000" w:themeColor="text1"/>
          <w:highlight w:val="yellow"/>
          <w:shd w:val="clear" w:color="auto" w:fill="FFFFFF"/>
        </w:rPr>
      </w:pPr>
    </w:p>
    <w:p w14:paraId="74E40307" w14:textId="4C589249" w:rsidR="00B54813" w:rsidRDefault="00480E8F" w:rsidP="00B54813">
      <w:pPr>
        <w:spacing w:line="360" w:lineRule="auto"/>
        <w:rPr>
          <w:rFonts w:eastAsiaTheme="minorEastAsia"/>
          <w:color w:val="000000" w:themeColor="text1"/>
          <w:shd w:val="clear" w:color="auto" w:fill="FFFFFF"/>
        </w:rPr>
      </w:pPr>
      <w:r w:rsidRPr="00DA2021">
        <w:rPr>
          <w:rFonts w:eastAsiaTheme="minorEastAsia"/>
          <w:color w:val="000000" w:themeColor="text1"/>
          <w:shd w:val="clear" w:color="auto" w:fill="FFFFFF"/>
        </w:rPr>
        <w:t xml:space="preserve">García-Pola et al., (2020) </w:t>
      </w:r>
      <w:r w:rsidR="00B54813" w:rsidRPr="00DA2021">
        <w:rPr>
          <w:rFonts w:eastAsiaTheme="minorEastAsia"/>
          <w:color w:val="000000" w:themeColor="text1"/>
          <w:shd w:val="clear" w:color="auto" w:fill="FFFFFF"/>
        </w:rPr>
        <w:t>broadly classified</w:t>
      </w:r>
      <w:r w:rsidR="00B54813">
        <w:rPr>
          <w:rFonts w:eastAsiaTheme="minorEastAsia"/>
          <w:color w:val="000000" w:themeColor="text1"/>
          <w:shd w:val="clear" w:color="auto" w:fill="FFFFFF"/>
        </w:rPr>
        <w:t xml:space="preserve"> three categories of explanations to account for deviations from equilibrium-play, ‘preference-based’, ‘bounded rationality’ and models that relax the common knowledge of rationality. The preference-based approach argues that some subjects’ utility function is not solely a product of their payoffs and instead, some may be altruistic or inequity-averse (</w:t>
      </w:r>
      <w:r w:rsidRPr="00480E8F">
        <w:rPr>
          <w:rFonts w:eastAsiaTheme="minorEastAsia"/>
          <w:color w:val="000000" w:themeColor="text1"/>
          <w:shd w:val="clear" w:color="auto" w:fill="FFFFFF"/>
        </w:rPr>
        <w:t>García-Pola</w:t>
      </w:r>
      <w:r>
        <w:rPr>
          <w:rFonts w:eastAsiaTheme="minorEastAsia"/>
          <w:color w:val="000000" w:themeColor="text1"/>
          <w:shd w:val="clear" w:color="auto" w:fill="FFFFFF"/>
        </w:rPr>
        <w:t xml:space="preserve"> et al., 2020</w:t>
      </w:r>
      <w:r w:rsidR="00B54813">
        <w:rPr>
          <w:rFonts w:eastAsiaTheme="minorEastAsia"/>
          <w:color w:val="000000" w:themeColor="text1"/>
          <w:shd w:val="clear" w:color="auto" w:fill="FFFFFF"/>
        </w:rPr>
        <w:t xml:space="preserve">). </w:t>
      </w:r>
      <w:r w:rsidR="00D216C1" w:rsidRPr="003674FB">
        <w:rPr>
          <w:rFonts w:eastAsiaTheme="minorEastAsia"/>
          <w:shd w:val="clear" w:color="auto" w:fill="FFFFFF"/>
        </w:rPr>
        <w:t>M</w:t>
      </w:r>
      <w:r w:rsidR="00D216C1">
        <w:rPr>
          <w:rFonts w:eastAsiaTheme="minorEastAsia"/>
          <w:shd w:val="clear" w:color="auto" w:fill="FFFFFF"/>
        </w:rPr>
        <w:t>cKelvey and Palfrey (1992)</w:t>
      </w:r>
      <w:r w:rsidR="00B54813">
        <w:rPr>
          <w:rFonts w:eastAsiaTheme="minorEastAsia"/>
          <w:color w:val="000000" w:themeColor="text1"/>
          <w:shd w:val="clear" w:color="auto" w:fill="FFFFFF"/>
        </w:rPr>
        <w:t xml:space="preserve"> for instance proposed the existence of two types of players in the subject pool, altruistic and selfish. An altruistic player was determined to not be solely concerned with maximising their own payoff, but instead, their total utility was proposed to increase as social (joint) </w:t>
      </w:r>
      <w:r>
        <w:rPr>
          <w:rFonts w:eastAsiaTheme="minorEastAsia"/>
          <w:color w:val="000000" w:themeColor="text1"/>
          <w:shd w:val="clear" w:color="auto" w:fill="FFFFFF"/>
        </w:rPr>
        <w:t xml:space="preserve">gains increase. Nevertheless, </w:t>
      </w:r>
      <w:r w:rsidRPr="00480E8F">
        <w:rPr>
          <w:rFonts w:eastAsiaTheme="minorEastAsia"/>
          <w:color w:val="000000" w:themeColor="text1"/>
          <w:shd w:val="clear" w:color="auto" w:fill="FFFFFF"/>
        </w:rPr>
        <w:t>García-Pola et al., (2020)</w:t>
      </w:r>
      <w:r>
        <w:rPr>
          <w:rFonts w:eastAsiaTheme="minorEastAsia"/>
          <w:color w:val="000000" w:themeColor="text1"/>
          <w:shd w:val="clear" w:color="auto" w:fill="FFFFFF"/>
        </w:rPr>
        <w:t xml:space="preserve"> </w:t>
      </w:r>
      <w:r w:rsidR="00B54813">
        <w:rPr>
          <w:rFonts w:eastAsiaTheme="minorEastAsia"/>
          <w:color w:val="000000" w:themeColor="text1"/>
          <w:shd w:val="clear" w:color="auto" w:fill="FFFFFF"/>
        </w:rPr>
        <w:t xml:space="preserve">demonstrated that preference-based models only played a minor </w:t>
      </w:r>
      <w:r w:rsidR="00B54813" w:rsidRPr="00083106">
        <w:rPr>
          <w:rFonts w:eastAsiaTheme="minorEastAsia"/>
          <w:color w:val="000000" w:themeColor="text1"/>
          <w:shd w:val="clear" w:color="auto" w:fill="FFFFFF"/>
        </w:rPr>
        <w:t xml:space="preserve">role in accounting for non-equilibrium play in their data. </w:t>
      </w:r>
      <w:r w:rsidR="00B54813" w:rsidRPr="00226585">
        <w:rPr>
          <w:rFonts w:eastAsiaTheme="minorEastAsia"/>
          <w:color w:val="000000" w:themeColor="text1"/>
          <w:shd w:val="clear" w:color="auto" w:fill="FFFFFF"/>
        </w:rPr>
        <w:t>Separately, McKelvey and Palfrey (1995) posited</w:t>
      </w:r>
      <w:r w:rsidR="00B54813" w:rsidRPr="00083106">
        <w:rPr>
          <w:rFonts w:eastAsiaTheme="minorEastAsia"/>
          <w:color w:val="000000" w:themeColor="text1"/>
          <w:shd w:val="clear" w:color="auto" w:fill="FFFFFF"/>
        </w:rPr>
        <w:t xml:space="preserve"> the Quantal Response Equilibrium</w:t>
      </w:r>
      <w:r w:rsidR="00B54813">
        <w:rPr>
          <w:rFonts w:eastAsiaTheme="minorEastAsia"/>
          <w:color w:val="000000" w:themeColor="text1"/>
          <w:shd w:val="clear" w:color="auto" w:fill="FFFFFF"/>
        </w:rPr>
        <w:t xml:space="preserve"> model</w:t>
      </w:r>
      <w:r w:rsidR="00B54813" w:rsidRPr="00083106">
        <w:rPr>
          <w:rFonts w:eastAsiaTheme="minorEastAsia"/>
          <w:color w:val="000000" w:themeColor="text1"/>
          <w:shd w:val="clear" w:color="auto" w:fill="FFFFFF"/>
        </w:rPr>
        <w:t xml:space="preserve"> (QRE), which builds on the player’s bounded rationality. The QRE model relaxes the assumption of </w:t>
      </w:r>
      <w:r w:rsidR="00B54813" w:rsidRPr="00DA2021">
        <w:rPr>
          <w:rFonts w:eastAsiaTheme="minorEastAsia"/>
          <w:color w:val="000000" w:themeColor="text1"/>
          <w:shd w:val="clear" w:color="auto" w:fill="FFFFFF"/>
        </w:rPr>
        <w:t>perfect rationality, and involves subjects who imperfectly implement their best response (Fey, McKelvey and Palfrey, 1996).</w:t>
      </w:r>
      <w:r w:rsidR="00B54813" w:rsidRPr="00ED2124">
        <w:rPr>
          <w:rFonts w:eastAsiaTheme="minorEastAsia"/>
          <w:color w:val="000000" w:themeColor="text1"/>
          <w:shd w:val="clear" w:color="auto" w:fill="FFFFFF"/>
        </w:rPr>
        <w:t xml:space="preserve"> That is</w:t>
      </w:r>
      <w:r w:rsidR="00B54813" w:rsidRPr="00083106">
        <w:rPr>
          <w:rFonts w:eastAsiaTheme="minorEastAsia"/>
          <w:color w:val="000000" w:themeColor="text1"/>
          <w:shd w:val="clear" w:color="auto" w:fill="FFFFFF"/>
        </w:rPr>
        <w:t xml:space="preserve">, players may make mistakes, and assume others make mistakes, when determining their optimal response to others’ expected behaviour </w:t>
      </w:r>
      <w:r>
        <w:rPr>
          <w:rFonts w:eastAsiaTheme="minorEastAsia"/>
          <w:color w:val="000000" w:themeColor="text1"/>
          <w:shd w:val="clear" w:color="auto" w:fill="FFFFFF"/>
        </w:rPr>
        <w:t>(</w:t>
      </w:r>
      <w:r w:rsidRPr="00480E8F">
        <w:rPr>
          <w:rFonts w:eastAsiaTheme="minorEastAsia"/>
          <w:color w:val="000000" w:themeColor="text1"/>
          <w:shd w:val="clear" w:color="auto" w:fill="FFFFFF"/>
        </w:rPr>
        <w:t>García-Pola</w:t>
      </w:r>
      <w:r>
        <w:rPr>
          <w:rFonts w:eastAsiaTheme="minorEastAsia"/>
          <w:color w:val="000000" w:themeColor="text1"/>
          <w:shd w:val="clear" w:color="auto" w:fill="FFFFFF"/>
        </w:rPr>
        <w:t xml:space="preserve"> et al., 2020), </w:t>
      </w:r>
      <w:r w:rsidR="00B54813" w:rsidRPr="00083106">
        <w:rPr>
          <w:rFonts w:eastAsiaTheme="minorEastAsia"/>
          <w:color w:val="000000" w:themeColor="text1"/>
          <w:shd w:val="clear" w:color="auto" w:fill="FFFFFF"/>
        </w:rPr>
        <w:t>with costlier mistakes proposed to be less likely (Fey et al., 1996)</w:t>
      </w:r>
      <w:r w:rsidR="00B54813">
        <w:rPr>
          <w:rFonts w:eastAsiaTheme="minorEastAsia"/>
          <w:color w:val="000000" w:themeColor="text1"/>
          <w:shd w:val="clear" w:color="auto" w:fill="FFFFFF"/>
        </w:rPr>
        <w:t xml:space="preserve">. Accounting for the possibility of errors, the model assumes that sophisticated players may assume and exploit their opponent’s mistakes to maximise </w:t>
      </w:r>
      <w:r w:rsidR="00B54813" w:rsidRPr="008F7A8E">
        <w:rPr>
          <w:rFonts w:eastAsiaTheme="minorEastAsia"/>
          <w:color w:val="000000" w:themeColor="text1"/>
          <w:shd w:val="clear" w:color="auto" w:fill="FFFFFF"/>
        </w:rPr>
        <w:t>payoffs (Bornstein et al., 2004)</w:t>
      </w:r>
      <w:r w:rsidR="008F7A8E" w:rsidRPr="008F7A8E">
        <w:rPr>
          <w:rFonts w:eastAsiaTheme="minorEastAsia"/>
          <w:color w:val="000000" w:themeColor="text1"/>
          <w:shd w:val="clear" w:color="auto" w:fill="FFFFFF"/>
        </w:rPr>
        <w:t>.</w:t>
      </w:r>
    </w:p>
    <w:p w14:paraId="6A552072" w14:textId="77777777" w:rsidR="00B54813" w:rsidRDefault="00B54813" w:rsidP="00B54813">
      <w:pPr>
        <w:spacing w:line="360" w:lineRule="auto"/>
        <w:rPr>
          <w:rFonts w:eastAsiaTheme="minorEastAsia"/>
          <w:color w:val="000000" w:themeColor="text1"/>
          <w:shd w:val="clear" w:color="auto" w:fill="FFFFFF"/>
        </w:rPr>
      </w:pPr>
    </w:p>
    <w:p w14:paraId="1DE0EDDB" w14:textId="1328166D" w:rsidR="00162697" w:rsidRDefault="00B54813" w:rsidP="00B54813">
      <w:pPr>
        <w:spacing w:line="360" w:lineRule="auto"/>
        <w:rPr>
          <w:rFonts w:eastAsiaTheme="minorEastAsia"/>
          <w:color w:val="000000" w:themeColor="text1"/>
          <w:shd w:val="clear" w:color="auto" w:fill="FFFFFF"/>
        </w:rPr>
      </w:pPr>
      <w:r w:rsidRPr="00083106">
        <w:rPr>
          <w:rFonts w:eastAsiaTheme="minorEastAsia"/>
          <w:b/>
          <w:color w:val="000000" w:themeColor="text1"/>
          <w:shd w:val="clear" w:color="auto" w:fill="FFFFFF"/>
        </w:rPr>
        <w:t xml:space="preserve">Figure 3 </w:t>
      </w:r>
      <w:r w:rsidRPr="00083106">
        <w:rPr>
          <w:rFonts w:eastAsiaTheme="minorEastAsia"/>
          <w:color w:val="000000" w:themeColor="text1"/>
          <w:shd w:val="clear" w:color="auto" w:fill="FFFFFF"/>
        </w:rPr>
        <w:t xml:space="preserve">presents the quantal response function, which gives the probability that the player chooses to ‘take’. Parameter </w:t>
      </w:r>
      <m:oMath>
        <m:r>
          <w:rPr>
            <w:rFonts w:ascii="Cambria Math" w:eastAsiaTheme="minorEastAsia" w:hAnsi="Cambria Math"/>
            <w:color w:val="000000" w:themeColor="text1"/>
            <w:shd w:val="clear" w:color="auto" w:fill="FFFFFF"/>
          </w:rPr>
          <m:t>λ</m:t>
        </m:r>
      </m:oMath>
      <w:r w:rsidRPr="00083106">
        <w:rPr>
          <w:rFonts w:eastAsiaTheme="minorEastAsia"/>
          <w:color w:val="000000" w:themeColor="text1"/>
          <w:shd w:val="clear" w:color="auto" w:fill="FFFFFF"/>
        </w:rPr>
        <w:t xml:space="preserve"> is inversely related to the level of error and reflects the pl</w:t>
      </w:r>
      <w:r w:rsidR="00480E8F">
        <w:rPr>
          <w:rFonts w:eastAsiaTheme="minorEastAsia"/>
          <w:color w:val="000000" w:themeColor="text1"/>
          <w:shd w:val="clear" w:color="auto" w:fill="FFFFFF"/>
        </w:rPr>
        <w:t>ayers’ ‘degree of rationality’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r w:rsidRPr="00083106">
        <w:rPr>
          <w:rFonts w:eastAsiaTheme="minorEastAsia"/>
          <w:color w:val="000000" w:themeColor="text1"/>
          <w:shd w:val="clear" w:color="auto" w:fill="FFFFFF"/>
        </w:rPr>
        <w:t xml:space="preserve">. At </w:t>
      </w:r>
      <m:oMath>
        <m:r>
          <w:rPr>
            <w:rFonts w:ascii="Cambria Math" w:eastAsiaTheme="minorEastAsia" w:hAnsi="Cambria Math"/>
            <w:color w:val="000000" w:themeColor="text1"/>
            <w:shd w:val="clear" w:color="auto" w:fill="FFFFFF"/>
          </w:rPr>
          <m:t>λ</m:t>
        </m:r>
      </m:oMath>
      <w:r w:rsidRPr="00083106">
        <w:rPr>
          <w:rFonts w:eastAsiaTheme="minorEastAsia"/>
          <w:color w:val="000000" w:themeColor="text1"/>
          <w:shd w:val="clear" w:color="auto" w:fill="FFFFFF"/>
        </w:rPr>
        <w:t xml:space="preserve">=0, players are predicted to take or pass at random. As </w:t>
      </w:r>
      <m:oMath>
        <m:r>
          <w:rPr>
            <w:rFonts w:ascii="Cambria Math" w:eastAsiaTheme="minorEastAsia" w:hAnsi="Cambria Math"/>
            <w:color w:val="000000" w:themeColor="text1"/>
            <w:shd w:val="clear" w:color="auto" w:fill="FFFFFF"/>
          </w:rPr>
          <m:t>λ</m:t>
        </m:r>
      </m:oMath>
      <w:r w:rsidRPr="00083106">
        <w:rPr>
          <w:rFonts w:eastAsiaTheme="minorEastAsia"/>
          <w:color w:val="000000" w:themeColor="text1"/>
          <w:shd w:val="clear" w:color="auto" w:fill="FFFFFF"/>
        </w:rPr>
        <w:t xml:space="preserve"> approaches infinity, the player’s decisions convert to the Nash equilibrium and fewer errors are made. </w:t>
      </w:r>
      <m:oMath>
        <m:r>
          <w:rPr>
            <w:rFonts w:ascii="Cambria Math" w:eastAsiaTheme="minorEastAsia" w:hAnsi="Cambria Math"/>
            <w:color w:val="000000" w:themeColor="text1"/>
            <w:shd w:val="clear" w:color="auto" w:fill="FFFFFF"/>
          </w:rPr>
          <m:t xml:space="preserve">λ </m:t>
        </m:r>
      </m:oMath>
      <w:r>
        <w:rPr>
          <w:rFonts w:eastAsiaTheme="minorEastAsia"/>
          <w:color w:val="000000" w:themeColor="text1"/>
          <w:shd w:val="clear" w:color="auto" w:fill="FFFFFF"/>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means players are perfectly rational and the highest expected payoff choice will be played (Fey et al., 1996). </w:t>
      </w:r>
      <w:r w:rsidRPr="00083106">
        <w:rPr>
          <w:rFonts w:eastAsiaTheme="minorEastAsia"/>
          <w:color w:val="000000" w:themeColor="text1"/>
          <w:shd w:val="clear" w:color="auto" w:fill="FFFFFF"/>
        </w:rPr>
        <w:t>Among the models investigated by Fey et al., (1996), to account for their experimental data of the constant-sum centipede game, the QRE had the best fit and coul</w:t>
      </w:r>
      <w:r>
        <w:rPr>
          <w:rFonts w:eastAsiaTheme="minorEastAsia"/>
          <w:color w:val="000000" w:themeColor="text1"/>
          <w:shd w:val="clear" w:color="auto" w:fill="FFFFFF"/>
        </w:rPr>
        <w:t xml:space="preserve">d account for the main features, specifically, that players are more likely to choose ‘Take’ at later nodes within matches, and more likely to choose ‘Take’ across matches as they accumulate experience. </w:t>
      </w:r>
      <w:r w:rsidRPr="00083106">
        <w:rPr>
          <w:rFonts w:eastAsiaTheme="minorEastAsia"/>
          <w:color w:val="000000" w:themeColor="text1"/>
          <w:shd w:val="clear" w:color="auto" w:fill="FFFFFF"/>
        </w:rPr>
        <w:t xml:space="preserve">Extensions of the QRE model include the AQRE model, to accommodate behaviour in extensive form games </w:t>
      </w:r>
      <w:r w:rsidRPr="00226585">
        <w:rPr>
          <w:rFonts w:eastAsiaTheme="minorEastAsia"/>
          <w:color w:val="000000" w:themeColor="text1"/>
          <w:shd w:val="clear" w:color="auto" w:fill="FFFFFF"/>
        </w:rPr>
        <w:t>(McKelvey and Palfrey, 1998). McKelvey and Palfrey (1998) also introduced altruistic player</w:t>
      </w:r>
      <w:r w:rsidRPr="00083106">
        <w:rPr>
          <w:rFonts w:eastAsiaTheme="minorEastAsia"/>
          <w:color w:val="000000" w:themeColor="text1"/>
          <w:shd w:val="clear" w:color="auto" w:fill="FFFFFF"/>
        </w:rPr>
        <w:t xml:space="preserve"> types into their AQRE model, in which players believe</w:t>
      </w:r>
      <w:r>
        <w:rPr>
          <w:rFonts w:eastAsiaTheme="minorEastAsia"/>
          <w:color w:val="000000" w:themeColor="text1"/>
          <w:shd w:val="clear" w:color="auto" w:fill="FFFFFF"/>
        </w:rPr>
        <w:t xml:space="preserve">, with a certain probability, that their opponent is altruistic and given this belief, follow the AQRE model. McKelvely and Palfrey (1998) found that this extension of the AQRE model significantly increased goodness-of-fit for the data produced in </w:t>
      </w:r>
      <w:r w:rsidR="00D216C1" w:rsidRPr="003674FB">
        <w:rPr>
          <w:rFonts w:eastAsiaTheme="minorEastAsia"/>
          <w:shd w:val="clear" w:color="auto" w:fill="FFFFFF"/>
        </w:rPr>
        <w:t>M</w:t>
      </w:r>
      <w:r w:rsidR="00D216C1">
        <w:rPr>
          <w:rFonts w:eastAsiaTheme="minorEastAsia"/>
          <w:shd w:val="clear" w:color="auto" w:fill="FFFFFF"/>
        </w:rPr>
        <w:t>cKelvey and Palfrey (1992)</w:t>
      </w:r>
      <w:r>
        <w:rPr>
          <w:rFonts w:eastAsiaTheme="minorEastAsia"/>
          <w:color w:val="000000" w:themeColor="text1"/>
          <w:shd w:val="clear" w:color="auto" w:fill="FFFFFF"/>
        </w:rPr>
        <w:t xml:space="preserve">. </w:t>
      </w:r>
    </w:p>
    <w:p w14:paraId="54448AF1" w14:textId="77777777" w:rsidR="00D216C1" w:rsidRDefault="00D216C1" w:rsidP="00B54813">
      <w:pPr>
        <w:spacing w:line="360" w:lineRule="auto"/>
        <w:rPr>
          <w:rFonts w:eastAsiaTheme="minorEastAsia"/>
          <w:color w:val="000000" w:themeColor="text1"/>
          <w:shd w:val="clear" w:color="auto" w:fill="FFFFFF"/>
        </w:rPr>
      </w:pPr>
    </w:p>
    <w:p w14:paraId="3559C74D" w14:textId="77777777" w:rsidR="00B54813" w:rsidRPr="00D36998" w:rsidRDefault="00B54813" w:rsidP="00B54813">
      <w:pPr>
        <w:spacing w:line="360" w:lineRule="auto"/>
        <w:outlineLvl w:val="0"/>
        <w:rPr>
          <w:rFonts w:eastAsiaTheme="minorEastAsia"/>
          <w:b/>
          <w:color w:val="000000" w:themeColor="text1"/>
          <w:u w:val="single"/>
          <w:shd w:val="clear" w:color="auto" w:fill="FFFFFF"/>
        </w:rPr>
      </w:pPr>
      <w:r>
        <w:rPr>
          <w:rFonts w:eastAsiaTheme="minorEastAsia"/>
          <w:b/>
          <w:color w:val="000000" w:themeColor="text1"/>
          <w:u w:val="single"/>
          <w:shd w:val="clear" w:color="auto" w:fill="FFFFFF"/>
        </w:rPr>
        <w:t>Figure 3</w:t>
      </w:r>
      <w:r w:rsidRPr="003674FB">
        <w:rPr>
          <w:rFonts w:eastAsiaTheme="minorEastAsia"/>
          <w:b/>
          <w:color w:val="000000" w:themeColor="text1"/>
          <w:u w:val="single"/>
          <w:shd w:val="clear" w:color="auto" w:fill="FFFFFF"/>
        </w:rPr>
        <w:t xml:space="preserve">: </w:t>
      </w:r>
      <w:r>
        <w:rPr>
          <w:rFonts w:eastAsiaTheme="minorEastAsia"/>
          <w:b/>
          <w:color w:val="000000" w:themeColor="text1"/>
          <w:u w:val="single"/>
          <w:shd w:val="clear" w:color="auto" w:fill="FFFFFF"/>
        </w:rPr>
        <w:t>QRE</w:t>
      </w:r>
      <w:r w:rsidRPr="003674FB">
        <w:rPr>
          <w:rFonts w:eastAsiaTheme="minorEastAsia"/>
          <w:b/>
          <w:color w:val="000000" w:themeColor="text1"/>
          <w:u w:val="single"/>
          <w:shd w:val="clear" w:color="auto" w:fill="FFFFFF"/>
        </w:rPr>
        <w:t xml:space="preserve"> (McKelvey and Palfrey, 1995)</w:t>
      </w:r>
    </w:p>
    <w:p w14:paraId="503FA299" w14:textId="77777777" w:rsidR="00B54813" w:rsidRPr="003674FB" w:rsidRDefault="00B54813" w:rsidP="00B54813">
      <w:pPr>
        <w:ind w:left="2160"/>
        <w:rPr>
          <w:color w:val="000000" w:themeColor="text1"/>
          <w:sz w:val="28"/>
          <w:szCs w:val="28"/>
        </w:rPr>
      </w:pPr>
      <w:r w:rsidRPr="00CE53CE">
        <w:rPr>
          <w:noProof/>
          <w:color w:val="000000" w:themeColor="text1"/>
          <w:sz w:val="28"/>
          <w:szCs w:val="28"/>
        </w:rPr>
        <w:drawing>
          <wp:inline distT="0" distB="0" distL="0" distR="0" wp14:anchorId="5CFD80C7" wp14:editId="04423C9F">
            <wp:extent cx="2813534" cy="740814"/>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1442" cy="763961"/>
                    </a:xfrm>
                    <a:prstGeom prst="rect">
                      <a:avLst/>
                    </a:prstGeom>
                  </pic:spPr>
                </pic:pic>
              </a:graphicData>
            </a:graphic>
          </wp:inline>
        </w:drawing>
      </w:r>
    </w:p>
    <w:p w14:paraId="344DA851" w14:textId="77777777" w:rsidR="00B54813" w:rsidRPr="004A266A" w:rsidRDefault="00991A78" w:rsidP="00B54813">
      <w:pPr>
        <w:rPr>
          <w:rFonts w:eastAsiaTheme="minorEastAsia"/>
          <w:color w:val="000000" w:themeColor="text1"/>
          <w:sz w:val="22"/>
          <w:szCs w:val="22"/>
        </w:rPr>
      </w:pPr>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Pr</m:t>
            </m:r>
          </m:e>
          <m:sub>
            <m:r>
              <w:rPr>
                <w:rFonts w:ascii="Cambria Math" w:eastAsiaTheme="minorEastAsia" w:hAnsi="Cambria Math"/>
                <w:color w:val="000000" w:themeColor="text1"/>
                <w:sz w:val="22"/>
                <w:szCs w:val="22"/>
              </w:rPr>
              <m:t>t</m:t>
            </m:r>
          </m:sub>
        </m:sSub>
      </m:oMath>
      <w:r w:rsidR="00B54813" w:rsidRPr="004A266A">
        <w:rPr>
          <w:rFonts w:eastAsiaTheme="minorEastAsia"/>
          <w:color w:val="000000" w:themeColor="text1"/>
          <w:sz w:val="22"/>
          <w:szCs w:val="22"/>
        </w:rPr>
        <w:t xml:space="preserve"> = Probability the player chooses strategy t </w:t>
      </w:r>
      <w:r w:rsidR="00B54813">
        <w:rPr>
          <w:rFonts w:eastAsiaTheme="minorEastAsia"/>
          <w:color w:val="000000" w:themeColor="text1"/>
          <w:sz w:val="22"/>
          <w:szCs w:val="22"/>
        </w:rPr>
        <w:t xml:space="preserve">(take) at a given node. </w:t>
      </w:r>
    </w:p>
    <w:p w14:paraId="223EF203" w14:textId="77777777" w:rsidR="00B54813" w:rsidRPr="004A266A" w:rsidRDefault="00991A78" w:rsidP="00B54813">
      <w:pPr>
        <w:rPr>
          <w:rFonts w:eastAsiaTheme="minorEastAsia"/>
          <w:color w:val="000000" w:themeColor="text1"/>
          <w:sz w:val="22"/>
          <w:szCs w:val="22"/>
        </w:rPr>
      </w:pPr>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u</m:t>
            </m:r>
          </m:e>
          <m:sub>
            <m:r>
              <w:rPr>
                <w:rFonts w:ascii="Cambria Math" w:eastAsiaTheme="minorEastAsia" w:hAnsi="Cambria Math"/>
                <w:color w:val="000000" w:themeColor="text1"/>
                <w:sz w:val="22"/>
                <w:szCs w:val="22"/>
              </w:rPr>
              <m:t>t</m:t>
            </m:r>
          </m:sub>
        </m:sSub>
      </m:oMath>
      <w:r w:rsidR="00B54813" w:rsidRPr="004A266A">
        <w:rPr>
          <w:rFonts w:eastAsiaTheme="minorEastAsia"/>
          <w:color w:val="000000" w:themeColor="text1"/>
          <w:sz w:val="22"/>
          <w:szCs w:val="22"/>
        </w:rPr>
        <w:t xml:space="preserve"> = Utility the player derives from choosing to ‘take’ given other player’s decisions</w:t>
      </w:r>
    </w:p>
    <w:p w14:paraId="63D7149C" w14:textId="77777777" w:rsidR="00B54813" w:rsidRPr="004A266A" w:rsidRDefault="00991A78" w:rsidP="00B54813">
      <w:pPr>
        <w:rPr>
          <w:rFonts w:eastAsiaTheme="minorEastAsia"/>
          <w:color w:val="000000" w:themeColor="text1"/>
          <w:sz w:val="22"/>
          <w:szCs w:val="22"/>
        </w:rPr>
      </w:pPr>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u</m:t>
            </m:r>
          </m:e>
          <m:sub>
            <m:r>
              <w:rPr>
                <w:rFonts w:ascii="Cambria Math" w:eastAsiaTheme="minorEastAsia" w:hAnsi="Cambria Math"/>
                <w:color w:val="000000" w:themeColor="text1"/>
                <w:sz w:val="22"/>
                <w:szCs w:val="22"/>
              </w:rPr>
              <m:t>p</m:t>
            </m:r>
          </m:sub>
        </m:sSub>
      </m:oMath>
      <w:r w:rsidR="00B54813" w:rsidRPr="004A266A">
        <w:rPr>
          <w:rFonts w:eastAsiaTheme="minorEastAsia"/>
          <w:color w:val="000000" w:themeColor="text1"/>
          <w:sz w:val="22"/>
          <w:szCs w:val="22"/>
        </w:rPr>
        <w:t xml:space="preserve"> = Utility the player derives from choosing to ‘pass’ given other player’s decisions</w:t>
      </w:r>
    </w:p>
    <w:p w14:paraId="4D3E955D" w14:textId="77777777" w:rsidR="00B54813" w:rsidRPr="004A266A" w:rsidRDefault="00B54813" w:rsidP="00B54813">
      <w:pPr>
        <w:rPr>
          <w:color w:val="000000" w:themeColor="text1"/>
          <w:sz w:val="22"/>
          <w:szCs w:val="22"/>
        </w:rPr>
      </w:pPr>
      <m:oMath>
        <m:r>
          <w:rPr>
            <w:rFonts w:ascii="Cambria Math" w:eastAsiaTheme="minorEastAsia" w:hAnsi="Cambria Math"/>
            <w:color w:val="000000" w:themeColor="text1"/>
            <w:sz w:val="22"/>
            <w:szCs w:val="22"/>
          </w:rPr>
          <m:t>λ</m:t>
        </m:r>
      </m:oMath>
      <w:r w:rsidRPr="004A266A">
        <w:rPr>
          <w:rFonts w:eastAsiaTheme="minorEastAsia"/>
          <w:color w:val="000000" w:themeColor="text1"/>
          <w:sz w:val="22"/>
          <w:szCs w:val="22"/>
        </w:rPr>
        <w:t xml:space="preserve"> = Parameter th</w:t>
      </w:r>
      <w:r>
        <w:rPr>
          <w:rFonts w:eastAsiaTheme="minorEastAsia"/>
          <w:color w:val="000000" w:themeColor="text1"/>
          <w:sz w:val="22"/>
          <w:szCs w:val="22"/>
        </w:rPr>
        <w:t>at reflects the player’s ‘degree of rationality’</w:t>
      </w:r>
      <w:r w:rsidRPr="004A266A">
        <w:rPr>
          <w:rFonts w:eastAsiaTheme="minorEastAsia"/>
          <w:color w:val="000000" w:themeColor="text1"/>
          <w:sz w:val="22"/>
          <w:szCs w:val="22"/>
        </w:rPr>
        <w:t xml:space="preserve"> </w:t>
      </w:r>
      <w:r>
        <w:rPr>
          <w:rFonts w:eastAsiaTheme="minorEastAsia"/>
          <w:color w:val="000000" w:themeColor="text1"/>
          <w:sz w:val="22"/>
          <w:szCs w:val="22"/>
        </w:rPr>
        <w:t xml:space="preserve">and is inversely related to the level of error. </w:t>
      </w:r>
    </w:p>
    <w:p w14:paraId="74F4F1D0" w14:textId="77777777" w:rsidR="00B54813" w:rsidRDefault="00B54813" w:rsidP="00B54813">
      <w:pPr>
        <w:spacing w:line="360" w:lineRule="auto"/>
        <w:rPr>
          <w:rFonts w:eastAsiaTheme="minorEastAsia"/>
          <w:color w:val="000000" w:themeColor="text1"/>
          <w:shd w:val="clear" w:color="auto" w:fill="FFFFFF"/>
        </w:rPr>
      </w:pPr>
    </w:p>
    <w:p w14:paraId="03209A28" w14:textId="69576F25" w:rsidR="00B54813" w:rsidRDefault="00B54813" w:rsidP="00B54813">
      <w:pPr>
        <w:spacing w:line="360" w:lineRule="auto"/>
        <w:rPr>
          <w:rFonts w:eastAsiaTheme="minorEastAsia"/>
          <w:color w:val="000000" w:themeColor="text1"/>
          <w:shd w:val="clear" w:color="auto" w:fill="FFFFFF"/>
        </w:rPr>
      </w:pPr>
      <w:r>
        <w:rPr>
          <w:rFonts w:eastAsiaTheme="minorEastAsia"/>
          <w:color w:val="000000" w:themeColor="text1"/>
          <w:shd w:val="clear" w:color="auto" w:fill="FFFFFF"/>
        </w:rPr>
        <w:t xml:space="preserve">Scholars </w:t>
      </w:r>
      <w:r w:rsidRPr="00442267">
        <w:rPr>
          <w:rFonts w:eastAsiaTheme="minorEastAsia"/>
          <w:color w:val="000000" w:themeColor="text1"/>
          <w:shd w:val="clear" w:color="auto" w:fill="FFFFFF"/>
        </w:rPr>
        <w:t xml:space="preserve">have also considered relaxing the assumption of common knowledge of rationality (Aumann, 1995; Palacios-Huerta </w:t>
      </w:r>
      <w:r w:rsidRPr="00C97FAF">
        <w:rPr>
          <w:rFonts w:eastAsiaTheme="minorEastAsia"/>
          <w:color w:val="000000" w:themeColor="text1"/>
          <w:shd w:val="clear" w:color="auto" w:fill="FFFFFF"/>
        </w:rPr>
        <w:t>and Volij, 2009; Tadelis, 2013). Palacios</w:t>
      </w:r>
      <w:r w:rsidRPr="00442267">
        <w:rPr>
          <w:rFonts w:eastAsiaTheme="minorEastAsia"/>
          <w:color w:val="000000" w:themeColor="text1"/>
          <w:shd w:val="clear" w:color="auto" w:fill="FFFFFF"/>
        </w:rPr>
        <w:t>-Huerta and Volij (2009) illustrated that 69% of chess players adhered to the Nash equilibrium when playing against their peers, with the percentage increasing to 100% when the first player was a grandmaster. Interestingly, Palacios-Huerta and Volij (2009) demonstrate that students deviate further from equilibrium-play when playing against their peers compared</w:t>
      </w:r>
      <w:r>
        <w:rPr>
          <w:rFonts w:eastAsiaTheme="minorEastAsia"/>
          <w:color w:val="000000" w:themeColor="text1"/>
          <w:shd w:val="clear" w:color="auto" w:fill="FFFFFF"/>
        </w:rPr>
        <w:t xml:space="preserve"> to when they play against </w:t>
      </w:r>
      <w:r w:rsidRPr="000B56EE">
        <w:rPr>
          <w:rFonts w:eastAsiaTheme="minorEastAsia"/>
          <w:color w:val="000000" w:themeColor="text1"/>
          <w:shd w:val="clear" w:color="auto" w:fill="FFFFFF"/>
        </w:rPr>
        <w:t xml:space="preserve">chess </w:t>
      </w:r>
      <w:r w:rsidRPr="00ED2E68">
        <w:rPr>
          <w:rFonts w:eastAsiaTheme="minorEastAsia"/>
          <w:color w:val="000000" w:themeColor="text1"/>
          <w:shd w:val="clear" w:color="auto" w:fill="FFFFFF"/>
        </w:rPr>
        <w:t>players</w:t>
      </w:r>
      <w:r>
        <w:rPr>
          <w:rFonts w:eastAsiaTheme="minorEastAsia"/>
          <w:color w:val="000000" w:themeColor="text1"/>
          <w:shd w:val="clear" w:color="auto" w:fill="FFFFFF"/>
        </w:rPr>
        <w:t xml:space="preserve">, </w:t>
      </w:r>
      <w:r w:rsidRPr="000B56EE">
        <w:rPr>
          <w:rFonts w:eastAsiaTheme="minorEastAsia"/>
          <w:color w:val="000000" w:themeColor="text1"/>
          <w:shd w:val="clear" w:color="auto" w:fill="FFFFFF"/>
        </w:rPr>
        <w:t xml:space="preserve">suggesting </w:t>
      </w:r>
      <w:r>
        <w:rPr>
          <w:rFonts w:eastAsiaTheme="minorEastAsia"/>
          <w:color w:val="000000" w:themeColor="text1"/>
          <w:shd w:val="clear" w:color="auto" w:fill="FFFFFF"/>
        </w:rPr>
        <w:t>that game-theoretic predictions may only apply to situations where common knowledge of rationality is not subject to doubt</w:t>
      </w:r>
      <w:r>
        <w:rPr>
          <w:rStyle w:val="FootnoteReference"/>
          <w:rFonts w:eastAsiaTheme="minorEastAsia"/>
          <w:color w:val="000000" w:themeColor="text1"/>
          <w:shd w:val="clear" w:color="auto" w:fill="FFFFFF"/>
        </w:rPr>
        <w:footnoteReference w:id="13"/>
      </w:r>
      <w:r>
        <w:rPr>
          <w:rFonts w:eastAsiaTheme="minorEastAsia"/>
          <w:color w:val="000000" w:themeColor="text1"/>
          <w:shd w:val="clear" w:color="auto" w:fill="FFFFFF"/>
        </w:rPr>
        <w:t xml:space="preserve">. </w:t>
      </w:r>
      <w:r w:rsidRPr="003674FB">
        <w:rPr>
          <w:rFonts w:eastAsiaTheme="minorEastAsia"/>
          <w:color w:val="000000" w:themeColor="text1"/>
          <w:shd w:val="clear" w:color="auto" w:fill="FFFFFF"/>
        </w:rPr>
        <w:t>Indeed, even selfish players would benefit from mimicking irrational behaviour if they believe their opponent will follow suit and thus, players may have non-equilibrium beliefs</w:t>
      </w:r>
      <w:r>
        <w:rPr>
          <w:rFonts w:eastAsiaTheme="minorEastAsia"/>
          <w:color w:val="000000" w:themeColor="text1"/>
          <w:shd w:val="clear" w:color="auto" w:fill="FFFFFF"/>
        </w:rPr>
        <w:t xml:space="preserve"> or expect others to hav</w:t>
      </w:r>
      <w:r w:rsidR="00480E8F">
        <w:rPr>
          <w:rFonts w:eastAsiaTheme="minorEastAsia"/>
          <w:color w:val="000000" w:themeColor="text1"/>
          <w:shd w:val="clear" w:color="auto" w:fill="FFFFFF"/>
        </w:rPr>
        <w:t xml:space="preserve">e </w:t>
      </w:r>
      <w:r w:rsidR="00480E8F" w:rsidRPr="00DA2021">
        <w:rPr>
          <w:rFonts w:eastAsiaTheme="minorEastAsia"/>
          <w:color w:val="000000" w:themeColor="text1"/>
          <w:shd w:val="clear" w:color="auto" w:fill="FFFFFF"/>
        </w:rPr>
        <w:t xml:space="preserve">them (García-Pola et al., </w:t>
      </w:r>
      <w:r w:rsidR="00480E8F" w:rsidRPr="00D17A4F">
        <w:rPr>
          <w:rFonts w:eastAsiaTheme="minorEastAsia"/>
          <w:color w:val="000000" w:themeColor="text1"/>
          <w:shd w:val="clear" w:color="auto" w:fill="FFFFFF"/>
        </w:rPr>
        <w:t>2020)</w:t>
      </w:r>
      <w:r w:rsidRPr="00D17A4F">
        <w:rPr>
          <w:rFonts w:eastAsiaTheme="minorEastAsia"/>
          <w:color w:val="000000" w:themeColor="text1"/>
          <w:shd w:val="clear" w:color="auto" w:fill="FFFFFF"/>
        </w:rPr>
        <w:t>.</w:t>
      </w:r>
      <w:r w:rsidR="00D216C1" w:rsidRPr="00D17A4F">
        <w:rPr>
          <w:rFonts w:eastAsiaTheme="minorEastAsia"/>
          <w:color w:val="000000" w:themeColor="text1"/>
          <w:shd w:val="clear" w:color="auto" w:fill="FFFFFF"/>
        </w:rPr>
        <w:t xml:space="preserve"> McKelvey and Palfrey (1992)</w:t>
      </w:r>
      <w:r w:rsidRPr="00D17A4F">
        <w:rPr>
          <w:rFonts w:eastAsiaTheme="minorEastAsia"/>
          <w:color w:val="000000" w:themeColor="text1"/>
          <w:shd w:val="clear" w:color="auto" w:fill="FFFFFF"/>
        </w:rPr>
        <w:t xml:space="preserve"> built</w:t>
      </w:r>
      <w:r>
        <w:rPr>
          <w:rFonts w:eastAsiaTheme="minorEastAsia"/>
          <w:color w:val="000000" w:themeColor="text1"/>
          <w:shd w:val="clear" w:color="auto" w:fill="FFFFFF"/>
        </w:rPr>
        <w:t xml:space="preserve"> on their preference approach explanation to propose </w:t>
      </w:r>
      <w:r w:rsidRPr="005C784B">
        <w:rPr>
          <w:rFonts w:eastAsiaTheme="minorEastAsia"/>
          <w:color w:val="000000" w:themeColor="text1"/>
          <w:shd w:val="clear" w:color="auto" w:fill="FFFFFF"/>
        </w:rPr>
        <w:t>an ‘altruistic model’ that relaxes the assumption of common knowledge of rationality</w:t>
      </w:r>
      <w:r>
        <w:rPr>
          <w:rFonts w:eastAsiaTheme="minorEastAsia"/>
          <w:color w:val="000000" w:themeColor="text1"/>
          <w:shd w:val="clear" w:color="auto" w:fill="FFFFFF"/>
        </w:rPr>
        <w:t xml:space="preserve">. The model assumes that the subject pool consists of strategic and non-strategic types, specifically selfish and altruistic players. Since altruistic players attempt to </w:t>
      </w:r>
      <w:r w:rsidRPr="00D17A4F">
        <w:rPr>
          <w:rFonts w:eastAsiaTheme="minorEastAsia"/>
          <w:color w:val="000000" w:themeColor="text1"/>
          <w:shd w:val="clear" w:color="auto" w:fill="FFFFFF"/>
        </w:rPr>
        <w:t>maximise joint-payoffs (McClintock, 1972), they</w:t>
      </w:r>
      <w:r>
        <w:rPr>
          <w:rFonts w:eastAsiaTheme="minorEastAsia"/>
          <w:color w:val="000000" w:themeColor="text1"/>
          <w:shd w:val="clear" w:color="auto" w:fill="FFFFFF"/>
        </w:rPr>
        <w:t xml:space="preserve"> will always choose to pass in the exponential CG. The presence of both types in the subject pool is common knowledge, although players have incomplete information about their opponent’s type (</w:t>
      </w:r>
      <w:r w:rsidR="00D216C1" w:rsidRPr="003674FB">
        <w:rPr>
          <w:rFonts w:eastAsiaTheme="minorEastAsia"/>
          <w:shd w:val="clear" w:color="auto" w:fill="FFFFFF"/>
        </w:rPr>
        <w:t>M</w:t>
      </w:r>
      <w:r w:rsidR="00D216C1">
        <w:rPr>
          <w:rFonts w:eastAsiaTheme="minorEastAsia"/>
          <w:shd w:val="clear" w:color="auto" w:fill="FFFFFF"/>
        </w:rPr>
        <w:t>cKelvey and Palfrey (1992</w:t>
      </w:r>
      <w:r>
        <w:rPr>
          <w:rFonts w:eastAsiaTheme="minorEastAsia"/>
          <w:color w:val="000000" w:themeColor="text1"/>
          <w:shd w:val="clear" w:color="auto" w:fill="FFFFFF"/>
        </w:rPr>
        <w:t xml:space="preserve">). If selfish players believe that their opponent might be altruistic, they will have an incentive to mimic altruistic behaviour to increase their payoff and build a reputation for </w:t>
      </w:r>
      <w:r w:rsidRPr="00AF5951">
        <w:rPr>
          <w:rFonts w:eastAsiaTheme="minorEastAsia"/>
          <w:color w:val="000000" w:themeColor="text1"/>
          <w:shd w:val="clear" w:color="auto" w:fill="FFFFFF"/>
        </w:rPr>
        <w:t>altruism</w:t>
      </w:r>
      <w:r>
        <w:rPr>
          <w:rFonts w:eastAsiaTheme="minorEastAsia"/>
          <w:color w:val="000000" w:themeColor="text1"/>
          <w:shd w:val="clear" w:color="auto" w:fill="FFFFFF"/>
        </w:rPr>
        <w:t xml:space="preserve"> (</w:t>
      </w:r>
      <w:r w:rsidR="00D216C1" w:rsidRPr="003674FB">
        <w:rPr>
          <w:rFonts w:eastAsiaTheme="minorEastAsia"/>
          <w:shd w:val="clear" w:color="auto" w:fill="FFFFFF"/>
        </w:rPr>
        <w:t>M</w:t>
      </w:r>
      <w:r w:rsidR="00D216C1">
        <w:rPr>
          <w:rFonts w:eastAsiaTheme="minorEastAsia"/>
          <w:shd w:val="clear" w:color="auto" w:fill="FFFFFF"/>
        </w:rPr>
        <w:t>cKelvey and Palfrey (1992</w:t>
      </w:r>
      <w:r>
        <w:rPr>
          <w:rFonts w:eastAsiaTheme="minorEastAsia"/>
          <w:color w:val="000000" w:themeColor="text1"/>
          <w:shd w:val="clear" w:color="auto" w:fill="FFFFFF"/>
        </w:rPr>
        <w:t>). The presence of a small percentage of altruists (</w:t>
      </w:r>
      <m:oMath>
        <m:r>
          <w:rPr>
            <w:rFonts w:ascii="Cambria Math" w:eastAsiaTheme="minorEastAsia" w:hAnsi="Cambria Math"/>
            <w:color w:val="000000" w:themeColor="text1"/>
            <w:shd w:val="clear" w:color="auto" w:fill="FFFFFF"/>
          </w:rPr>
          <m:t>~5%)</m:t>
        </m:r>
      </m:oMath>
      <w:r>
        <w:rPr>
          <w:rFonts w:eastAsiaTheme="minorEastAsia"/>
          <w:color w:val="000000" w:themeColor="text1"/>
          <w:shd w:val="clear" w:color="auto" w:fill="FFFFFF"/>
        </w:rPr>
        <w:t xml:space="preserve"> accounted for most of the systematic patterns in </w:t>
      </w:r>
      <w:r w:rsidR="00D216C1" w:rsidRPr="003674FB">
        <w:rPr>
          <w:rFonts w:eastAsiaTheme="minorEastAsia"/>
          <w:shd w:val="clear" w:color="auto" w:fill="FFFFFF"/>
        </w:rPr>
        <w:t>M</w:t>
      </w:r>
      <w:r w:rsidR="00D216C1">
        <w:rPr>
          <w:rFonts w:eastAsiaTheme="minorEastAsia"/>
          <w:shd w:val="clear" w:color="auto" w:fill="FFFFFF"/>
        </w:rPr>
        <w:t>cKelvey and Palfrey (1992)</w:t>
      </w:r>
      <w:r>
        <w:rPr>
          <w:rFonts w:eastAsiaTheme="minorEastAsia"/>
          <w:color w:val="000000" w:themeColor="text1"/>
          <w:shd w:val="clear" w:color="auto" w:fill="FFFFFF"/>
        </w:rPr>
        <w:t xml:space="preserve">’s data. Notably, </w:t>
      </w:r>
      <w:r w:rsidRPr="00AF5951">
        <w:rPr>
          <w:rFonts w:eastAsiaTheme="minorEastAsia"/>
          <w:color w:val="000000" w:themeColor="text1"/>
          <w:shd w:val="clear" w:color="auto" w:fill="FFFFFF"/>
        </w:rPr>
        <w:t>Fey</w:t>
      </w:r>
      <w:r>
        <w:rPr>
          <w:rFonts w:eastAsiaTheme="minorEastAsia"/>
          <w:color w:val="000000" w:themeColor="text1"/>
          <w:shd w:val="clear" w:color="auto" w:fill="FFFFFF"/>
        </w:rPr>
        <w:t xml:space="preserve"> et al., (1996) investigated a constant-sum centipede game wherein there are no joint-benefits from choosing to pass, and therefore, deviations cannot be accounted for by the altruistic model.</w:t>
      </w:r>
      <w:r>
        <w:rPr>
          <w:rStyle w:val="FootnoteReference"/>
          <w:rFonts w:eastAsiaTheme="minorEastAsia"/>
          <w:color w:val="000000" w:themeColor="text1"/>
          <w:shd w:val="clear" w:color="auto" w:fill="FFFFFF"/>
        </w:rPr>
        <w:footnoteReference w:id="14"/>
      </w:r>
      <w:r>
        <w:rPr>
          <w:rFonts w:eastAsiaTheme="minorEastAsia"/>
          <w:color w:val="000000" w:themeColor="text1"/>
          <w:shd w:val="clear" w:color="auto" w:fill="FFFFFF"/>
        </w:rPr>
        <w:t xml:space="preserve"> Fey’s et al., 1996) experimental results were in fact closer to the game-theoretic solution, with nearly half of participants terminating at the first node across all treatments. Still, subjects frequently did not play the unique Nash equilibrium</w:t>
      </w:r>
      <w:r>
        <w:rPr>
          <w:rStyle w:val="FootnoteReference"/>
          <w:rFonts w:eastAsiaTheme="minorEastAsia"/>
          <w:color w:val="000000" w:themeColor="text1"/>
          <w:shd w:val="clear" w:color="auto" w:fill="FFFFFF"/>
        </w:rPr>
        <w:footnoteReference w:id="15"/>
      </w:r>
      <w:r>
        <w:rPr>
          <w:rFonts w:eastAsiaTheme="minorEastAsia"/>
          <w:color w:val="000000" w:themeColor="text1"/>
          <w:shd w:val="clear" w:color="auto" w:fill="FFFFFF"/>
        </w:rPr>
        <w:t xml:space="preserve"> and no subject ‘always passed’, indicating a limitation of the altruistic model. </w:t>
      </w:r>
      <w:r w:rsidRPr="00083106">
        <w:rPr>
          <w:rFonts w:eastAsiaTheme="minorEastAsia"/>
          <w:color w:val="000000" w:themeColor="text1"/>
          <w:shd w:val="clear" w:color="auto" w:fill="FFFFFF"/>
        </w:rPr>
        <w:t>In general, the altruistic model has not been effective in accounting for non-equilibrium play (Fey et al., 1996; McKelve</w:t>
      </w:r>
      <w:r w:rsidR="00480E8F">
        <w:rPr>
          <w:rFonts w:eastAsiaTheme="minorEastAsia"/>
          <w:color w:val="000000" w:themeColor="text1"/>
          <w:shd w:val="clear" w:color="auto" w:fill="FFFFFF"/>
        </w:rPr>
        <w:t xml:space="preserve">y and Palfrey, 1998;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r>
        <w:rPr>
          <w:rFonts w:eastAsiaTheme="minorEastAsia"/>
          <w:color w:val="000000" w:themeColor="text1"/>
          <w:shd w:val="clear" w:color="auto" w:fill="FFFFFF"/>
        </w:rPr>
        <w:t xml:space="preserve"> </w:t>
      </w:r>
    </w:p>
    <w:p w14:paraId="14C6A403" w14:textId="77777777" w:rsidR="00B54813" w:rsidRDefault="00B54813" w:rsidP="00B54813">
      <w:pPr>
        <w:spacing w:line="360" w:lineRule="auto"/>
        <w:rPr>
          <w:rFonts w:eastAsiaTheme="minorEastAsia"/>
          <w:color w:val="000000" w:themeColor="text1"/>
          <w:shd w:val="clear" w:color="auto" w:fill="FFFFFF"/>
        </w:rPr>
      </w:pPr>
    </w:p>
    <w:p w14:paraId="238EB267" w14:textId="6949A85D" w:rsidR="00B54813" w:rsidRDefault="00B54813" w:rsidP="00B54813">
      <w:pPr>
        <w:spacing w:line="360" w:lineRule="auto"/>
        <w:rPr>
          <w:rFonts w:eastAsiaTheme="minorEastAsia"/>
          <w:color w:val="000000" w:themeColor="text1"/>
          <w:shd w:val="clear" w:color="auto" w:fill="FFFFFF"/>
        </w:rPr>
      </w:pPr>
      <w:r>
        <w:rPr>
          <w:rFonts w:eastAsiaTheme="minorEastAsia"/>
          <w:color w:val="000000" w:themeColor="text1"/>
          <w:shd w:val="clear" w:color="auto" w:fill="FFFFFF"/>
        </w:rPr>
        <w:t>The level-k model also relaxes the assumption of comm</w:t>
      </w:r>
      <w:r w:rsidR="00480E8F">
        <w:rPr>
          <w:rFonts w:eastAsiaTheme="minorEastAsia"/>
          <w:color w:val="000000" w:themeColor="text1"/>
          <w:shd w:val="clear" w:color="auto" w:fill="FFFFFF"/>
        </w:rPr>
        <w:t>on knowledge of rationality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r>
        <w:rPr>
          <w:rFonts w:eastAsiaTheme="minorEastAsia"/>
          <w:color w:val="000000" w:themeColor="text1"/>
          <w:shd w:val="clear" w:color="auto" w:fill="FFFFFF"/>
        </w:rPr>
        <w:t xml:space="preserve">. The model assumes that players are heterogeneous, specifically, subjects are assumed to comprise </w:t>
      </w:r>
      <w:r w:rsidRPr="00815332">
        <w:rPr>
          <w:rFonts w:eastAsiaTheme="minorEastAsia"/>
          <w:color w:val="000000" w:themeColor="text1"/>
          <w:shd w:val="clear" w:color="auto" w:fill="FFFFFF"/>
        </w:rPr>
        <w:t xml:space="preserve">of different types, of varying degrees of </w:t>
      </w:r>
      <w:r w:rsidRPr="00EB60F8">
        <w:rPr>
          <w:rFonts w:eastAsiaTheme="minorEastAsia"/>
          <w:color w:val="000000" w:themeColor="text1"/>
          <w:shd w:val="clear" w:color="auto" w:fill="FFFFFF"/>
        </w:rPr>
        <w:t>reasoning (Kawagoe and Takizawa, 2012),</w:t>
      </w:r>
      <w:r w:rsidRPr="00815332">
        <w:rPr>
          <w:rFonts w:eastAsiaTheme="minorEastAsia"/>
          <w:color w:val="000000" w:themeColor="text1"/>
          <w:shd w:val="clear" w:color="auto" w:fill="FFFFFF"/>
        </w:rPr>
        <w:t xml:space="preserve"> denoted as L</w:t>
      </w:r>
      <w:r w:rsidRPr="00815332">
        <w:rPr>
          <w:rFonts w:eastAsiaTheme="minorEastAsia"/>
          <w:color w:val="000000" w:themeColor="text1"/>
          <w:shd w:val="clear" w:color="auto" w:fill="FFFFFF"/>
          <w:vertAlign w:val="subscript"/>
        </w:rPr>
        <w:t>0</w:t>
      </w:r>
      <w:r w:rsidRPr="00815332">
        <w:rPr>
          <w:rFonts w:eastAsiaTheme="minorEastAsia"/>
          <w:color w:val="000000" w:themeColor="text1"/>
          <w:shd w:val="clear" w:color="auto" w:fill="FFFFFF"/>
        </w:rPr>
        <w:t xml:space="preserve">, </w:t>
      </w:r>
      <w:r w:rsidRPr="00DA2021">
        <w:rPr>
          <w:rFonts w:eastAsiaTheme="minorEastAsia"/>
          <w:color w:val="000000" w:themeColor="text1"/>
          <w:shd w:val="clear" w:color="auto" w:fill="FFFFFF"/>
        </w:rPr>
        <w:t>L</w:t>
      </w:r>
      <w:r w:rsidRPr="00DA2021">
        <w:rPr>
          <w:rFonts w:eastAsiaTheme="minorEastAsia"/>
          <w:color w:val="000000" w:themeColor="text1"/>
          <w:shd w:val="clear" w:color="auto" w:fill="FFFFFF"/>
          <w:vertAlign w:val="subscript"/>
        </w:rPr>
        <w:t xml:space="preserve">1, </w:t>
      </w:r>
      <w:r w:rsidRPr="00DA2021">
        <w:rPr>
          <w:rFonts w:eastAsiaTheme="minorEastAsia"/>
          <w:color w:val="000000" w:themeColor="text1"/>
          <w:shd w:val="clear" w:color="auto" w:fill="FFFFFF"/>
        </w:rPr>
        <w:t>…. L</w:t>
      </w:r>
      <w:r w:rsidRPr="00DA2021">
        <w:rPr>
          <w:rFonts w:eastAsiaTheme="minorEastAsia"/>
          <w:color w:val="000000" w:themeColor="text1"/>
          <w:shd w:val="clear" w:color="auto" w:fill="FFFFFF"/>
          <w:vertAlign w:val="subscript"/>
        </w:rPr>
        <w:t>k</w:t>
      </w:r>
      <w:r w:rsidRPr="00DA2021">
        <w:rPr>
          <w:rFonts w:eastAsiaTheme="minorEastAsia"/>
          <w:color w:val="000000" w:themeColor="text1"/>
          <w:shd w:val="clear" w:color="auto" w:fill="FFFFFF"/>
        </w:rPr>
        <w:t xml:space="preserve"> (Georgalos, 2019). Every</w:t>
      </w:r>
      <w:r w:rsidRPr="00815332">
        <w:rPr>
          <w:rFonts w:eastAsiaTheme="minorEastAsia"/>
          <w:color w:val="000000" w:themeColor="text1"/>
          <w:shd w:val="clear" w:color="auto" w:fill="FFFFFF"/>
        </w:rPr>
        <w:t xml:space="preserve"> type</w:t>
      </w:r>
      <w:r w:rsidRPr="00C14265">
        <w:rPr>
          <w:rFonts w:eastAsiaTheme="minorEastAsia"/>
          <w:color w:val="000000" w:themeColor="text1"/>
          <w:shd w:val="clear" w:color="auto" w:fill="FFFFFF"/>
        </w:rPr>
        <w:t xml:space="preserve"> L</w:t>
      </w:r>
      <w:r w:rsidRPr="00C14265">
        <w:rPr>
          <w:rFonts w:eastAsiaTheme="minorEastAsia"/>
          <w:color w:val="000000" w:themeColor="text1"/>
          <w:shd w:val="clear" w:color="auto" w:fill="FFFFFF"/>
          <w:vertAlign w:val="subscript"/>
        </w:rPr>
        <w:t>k</w:t>
      </w:r>
      <w:r>
        <w:rPr>
          <w:rFonts w:eastAsiaTheme="minorEastAsia"/>
          <w:color w:val="000000" w:themeColor="text1"/>
          <w:shd w:val="clear" w:color="auto" w:fill="FFFFFF"/>
          <w:vertAlign w:val="subscript"/>
        </w:rPr>
        <w:t xml:space="preserve"> </w:t>
      </w:r>
      <w:r w:rsidRPr="00CB15B1">
        <w:rPr>
          <w:rFonts w:eastAsiaTheme="minorEastAsia"/>
          <w:color w:val="000000" w:themeColor="text1"/>
          <w:shd w:val="clear" w:color="auto" w:fill="FFFFFF"/>
        </w:rPr>
        <w:t xml:space="preserve">plays </w:t>
      </w:r>
      <w:r>
        <w:rPr>
          <w:rFonts w:eastAsiaTheme="minorEastAsia"/>
          <w:color w:val="000000" w:themeColor="text1"/>
          <w:shd w:val="clear" w:color="auto" w:fill="FFFFFF"/>
        </w:rPr>
        <w:t>their best response according to the belief that all other players are L</w:t>
      </w:r>
      <w:r>
        <w:rPr>
          <w:rFonts w:eastAsiaTheme="minorEastAsia"/>
          <w:color w:val="000000" w:themeColor="text1"/>
          <w:shd w:val="clear" w:color="auto" w:fill="FFFFFF"/>
          <w:vertAlign w:val="subscript"/>
        </w:rPr>
        <w:t>k-1</w:t>
      </w:r>
      <w:r>
        <w:rPr>
          <w:rFonts w:eastAsiaTheme="minorEastAsia"/>
          <w:b/>
          <w:color w:val="000000" w:themeColor="text1"/>
          <w:shd w:val="clear" w:color="auto" w:fill="FFFFFF"/>
          <w:vertAlign w:val="subscript"/>
        </w:rPr>
        <w:t xml:space="preserve">. </w:t>
      </w:r>
      <w:r>
        <w:rPr>
          <w:rFonts w:eastAsiaTheme="minorEastAsia"/>
          <w:color w:val="000000" w:themeColor="text1"/>
          <w:shd w:val="clear" w:color="auto" w:fill="FFFFFF"/>
        </w:rPr>
        <w:t>As such, players form expectations of their opponent’s types and formulate their best response accordingly (Kawagoe and Takizawa, 2012</w:t>
      </w:r>
      <w:r w:rsidRPr="00DA2021">
        <w:rPr>
          <w:rFonts w:eastAsiaTheme="minorEastAsia"/>
          <w:color w:val="000000" w:themeColor="text1"/>
          <w:shd w:val="clear" w:color="auto" w:fill="FFFFFF"/>
        </w:rPr>
        <w:t>). Kawagoe and Takizawa (2012) found</w:t>
      </w:r>
      <w:r w:rsidRPr="0051622B">
        <w:rPr>
          <w:rFonts w:eastAsiaTheme="minorEastAsia"/>
          <w:color w:val="000000" w:themeColor="text1"/>
          <w:shd w:val="clear" w:color="auto" w:fill="FFFFFF"/>
        </w:rPr>
        <w:t xml:space="preserve"> that level-k models perform better than the AQRE in increasing-pie </w:t>
      </w:r>
      <w:r w:rsidR="00480E8F">
        <w:rPr>
          <w:rFonts w:eastAsiaTheme="minorEastAsia"/>
          <w:color w:val="000000" w:themeColor="text1"/>
          <w:shd w:val="clear" w:color="auto" w:fill="FFFFFF"/>
        </w:rPr>
        <w:t>CGs</w:t>
      </w:r>
      <w:r w:rsidRPr="0051622B">
        <w:rPr>
          <w:rFonts w:eastAsiaTheme="minorEastAsia"/>
          <w:color w:val="000000" w:themeColor="text1"/>
          <w:shd w:val="clear" w:color="auto" w:fill="FFFFFF"/>
        </w:rPr>
        <w:t>, while</w:t>
      </w:r>
      <w:r w:rsidRPr="00BF51A7">
        <w:rPr>
          <w:rFonts w:eastAsiaTheme="minorEastAsia"/>
          <w:color w:val="000000" w:themeColor="text1"/>
          <w:shd w:val="clear" w:color="auto" w:fill="FFFFFF"/>
        </w:rPr>
        <w:t xml:space="preserve"> the AQRE variant with altruistic player types performs better in constant-pie games. A recent comparative</w:t>
      </w:r>
      <w:r>
        <w:rPr>
          <w:rFonts w:eastAsiaTheme="minorEastAsia"/>
          <w:color w:val="000000" w:themeColor="text1"/>
          <w:shd w:val="clear" w:color="auto" w:fill="FFFFFF"/>
        </w:rPr>
        <w:t xml:space="preserve"> analysis of multiple behavioural models illustrated that the level-k and QRE models explain the behaviour of most participants, and in fact, complement each other by explaining the beha</w:t>
      </w:r>
      <w:r w:rsidR="00480E8F">
        <w:rPr>
          <w:rFonts w:eastAsiaTheme="minorEastAsia"/>
          <w:color w:val="000000" w:themeColor="text1"/>
          <w:shd w:val="clear" w:color="auto" w:fill="FFFFFF"/>
        </w:rPr>
        <w:t>viour of different subjects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r>
        <w:rPr>
          <w:rFonts w:eastAsiaTheme="minorEastAsia"/>
          <w:color w:val="000000" w:themeColor="text1"/>
          <w:shd w:val="clear" w:color="auto" w:fill="FFFFFF"/>
        </w:rPr>
        <w:t xml:space="preserve">. The authors concluded that participants are heterogeneous and more than one explanation is required to explain and predict behaviour in CGs </w:t>
      </w:r>
      <w:r w:rsidR="00480E8F">
        <w:rPr>
          <w:rFonts w:eastAsiaTheme="minorEastAsia"/>
          <w:color w:val="000000" w:themeColor="text1"/>
          <w:shd w:val="clear" w:color="auto" w:fill="FFFFFF"/>
        </w:rPr>
        <w:t>(</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p>
    <w:p w14:paraId="345EE373" w14:textId="77777777" w:rsidR="00B54813" w:rsidRDefault="00B54813" w:rsidP="00B54813">
      <w:pPr>
        <w:spacing w:line="360" w:lineRule="auto"/>
        <w:rPr>
          <w:rFonts w:eastAsiaTheme="minorEastAsia"/>
          <w:color w:val="000000" w:themeColor="text1"/>
          <w:shd w:val="clear" w:color="auto" w:fill="FFFFFF"/>
        </w:rPr>
      </w:pPr>
    </w:p>
    <w:p w14:paraId="374877F0" w14:textId="14FB9C54" w:rsidR="00B54813" w:rsidRDefault="00B54813" w:rsidP="00B54813">
      <w:pPr>
        <w:spacing w:line="360" w:lineRule="auto"/>
        <w:rPr>
          <w:rFonts w:eastAsiaTheme="minorEastAsia"/>
          <w:color w:val="000000" w:themeColor="text1"/>
          <w:shd w:val="clear" w:color="auto" w:fill="FFFFFF"/>
        </w:rPr>
      </w:pPr>
      <w:r w:rsidRPr="003674FB">
        <w:rPr>
          <w:rFonts w:eastAsiaTheme="minorEastAsia"/>
          <w:shd w:val="clear" w:color="auto" w:fill="FFFFFF"/>
        </w:rPr>
        <w:t xml:space="preserve">Experimental </w:t>
      </w:r>
      <w:r>
        <w:rPr>
          <w:rFonts w:eastAsiaTheme="minorEastAsia"/>
          <w:shd w:val="clear" w:color="auto" w:fill="FFFFFF"/>
        </w:rPr>
        <w:t>investigations of the CG have</w:t>
      </w:r>
      <w:r w:rsidRPr="003674FB">
        <w:rPr>
          <w:rFonts w:eastAsiaTheme="minorEastAsia"/>
          <w:shd w:val="clear" w:color="auto" w:fill="FFFFFF"/>
        </w:rPr>
        <w:t xml:space="preserve"> prioritised linear and exponential payoff-functions. The linear payoff-function is one wherein the total payoff increases by a fixed amount per node, while exponential payoff-functions increase by a fixed proportion per node. Alternatively, the less studied constant-sum CG maintains a fixed payoff that becomes increasingly </w:t>
      </w:r>
      <w:r w:rsidRPr="00D84550">
        <w:rPr>
          <w:rFonts w:eastAsiaTheme="minorEastAsia"/>
          <w:shd w:val="clear" w:color="auto" w:fill="FFFFFF"/>
        </w:rPr>
        <w:t xml:space="preserve">asymmetric (Fey et </w:t>
      </w:r>
      <w:r w:rsidRPr="00C97FAF">
        <w:rPr>
          <w:rFonts w:eastAsiaTheme="minorEastAsia"/>
          <w:shd w:val="clear" w:color="auto" w:fill="FFFFFF"/>
        </w:rPr>
        <w:t xml:space="preserve">al., 1996). </w:t>
      </w:r>
      <w:r w:rsidRPr="00C97FAF">
        <w:rPr>
          <w:rFonts w:eastAsiaTheme="minorEastAsia"/>
          <w:color w:val="000000" w:themeColor="text1"/>
          <w:shd w:val="clear" w:color="auto" w:fill="FFFFFF"/>
        </w:rPr>
        <w:t>Pulford et al., (2017) compared</w:t>
      </w:r>
      <w:r w:rsidRPr="007F3B30">
        <w:rPr>
          <w:rFonts w:eastAsiaTheme="minorEastAsia"/>
          <w:color w:val="000000" w:themeColor="text1"/>
          <w:shd w:val="clear" w:color="auto" w:fill="FFFFFF"/>
        </w:rPr>
        <w:t xml:space="preserve"> </w:t>
      </w:r>
      <w:r w:rsidRPr="003674FB">
        <w:rPr>
          <w:rFonts w:eastAsiaTheme="minorEastAsia"/>
          <w:shd w:val="clear" w:color="auto" w:fill="FFFFFF"/>
        </w:rPr>
        <w:t>the impact of alternative payoff-functions wherein the payoff asymmetries between players either decreased, increased or remained constant over nodes. The results demonstrated heightened cooperation in the decreasing payoff differences game, suspected to be the product of inequity-aversion</w:t>
      </w:r>
      <w:r>
        <w:rPr>
          <w:rFonts w:eastAsiaTheme="minorEastAsia"/>
          <w:shd w:val="clear" w:color="auto" w:fill="FFFFFF"/>
        </w:rPr>
        <w:t xml:space="preserve">.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w:t>
      </w:r>
      <w:r>
        <w:rPr>
          <w:rFonts w:eastAsiaTheme="minorEastAsia"/>
          <w:color w:val="000000" w:themeColor="text1"/>
          <w:shd w:val="clear" w:color="auto" w:fill="FFFFFF"/>
        </w:rPr>
        <w:t xml:space="preserve"> highlight how different payoff-structures change incentives to pass, in that players are more likely to adhere to the Nash equilibrium in CGs that lower incentives to pass (constant-sum and decreasing) than CGs that increase inc</w:t>
      </w:r>
      <w:r w:rsidR="00480E8F">
        <w:rPr>
          <w:rFonts w:eastAsiaTheme="minorEastAsia"/>
          <w:color w:val="000000" w:themeColor="text1"/>
          <w:shd w:val="clear" w:color="auto" w:fill="FFFFFF"/>
        </w:rPr>
        <w:t xml:space="preserve">entives to pass (increasing).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 </w:t>
      </w:r>
      <w:r>
        <w:rPr>
          <w:rFonts w:eastAsiaTheme="minorEastAsia"/>
          <w:color w:val="000000" w:themeColor="text1"/>
          <w:shd w:val="clear" w:color="auto" w:fill="FFFFFF"/>
        </w:rPr>
        <w:t xml:space="preserve">further studied variable-sum CGs which included a payoff-structure that followed a </w:t>
      </w:r>
      <w:r w:rsidRPr="00D543F8">
        <w:rPr>
          <w:rFonts w:eastAsiaTheme="minorEastAsia"/>
          <w:color w:val="000000" w:themeColor="text1"/>
          <w:shd w:val="clear" w:color="auto" w:fill="FFFFFF"/>
        </w:rPr>
        <w:t>diminishing</w:t>
      </w:r>
      <w:r>
        <w:rPr>
          <w:rFonts w:eastAsiaTheme="minorEastAsia"/>
          <w:color w:val="000000" w:themeColor="text1"/>
          <w:shd w:val="clear" w:color="auto" w:fill="FFFFFF"/>
        </w:rPr>
        <w:t xml:space="preserve"> marginal</w:t>
      </w:r>
      <w:r w:rsidRPr="00D543F8">
        <w:rPr>
          <w:rFonts w:eastAsiaTheme="minorEastAsia"/>
          <w:color w:val="000000" w:themeColor="text1"/>
          <w:shd w:val="clear" w:color="auto" w:fill="FFFFFF"/>
        </w:rPr>
        <w:t xml:space="preserve"> returns function</w:t>
      </w:r>
      <w:r>
        <w:rPr>
          <w:rStyle w:val="FootnoteReference"/>
          <w:rFonts w:eastAsiaTheme="minorEastAsia"/>
          <w:color w:val="000000" w:themeColor="text1"/>
          <w:shd w:val="clear" w:color="auto" w:fill="FFFFFF"/>
        </w:rPr>
        <w:footnoteReference w:id="16"/>
      </w:r>
      <w:r w:rsidR="00480E8F">
        <w:rPr>
          <w:rFonts w:eastAsiaTheme="minorEastAsia"/>
          <w:color w:val="000000" w:themeColor="text1"/>
          <w:shd w:val="clear" w:color="auto" w:fill="FFFFFF"/>
        </w:rPr>
        <w:t xml:space="preserve">. Importantly, </w:t>
      </w:r>
      <w:r w:rsidR="00480E8F" w:rsidRPr="00480E8F">
        <w:rPr>
          <w:rFonts w:eastAsiaTheme="minorEastAsia"/>
          <w:color w:val="000000" w:themeColor="text1"/>
          <w:shd w:val="clear" w:color="auto" w:fill="FFFFFF"/>
        </w:rPr>
        <w:t>García-Pola</w:t>
      </w:r>
      <w:r w:rsidR="00480E8F">
        <w:rPr>
          <w:rFonts w:eastAsiaTheme="minorEastAsia"/>
          <w:color w:val="000000" w:themeColor="text1"/>
          <w:shd w:val="clear" w:color="auto" w:fill="FFFFFF"/>
        </w:rPr>
        <w:t xml:space="preserve"> et al., (2020) </w:t>
      </w:r>
      <w:r>
        <w:rPr>
          <w:rFonts w:eastAsiaTheme="minorEastAsia"/>
          <w:color w:val="000000" w:themeColor="text1"/>
          <w:shd w:val="clear" w:color="auto" w:fill="FFFFFF"/>
        </w:rPr>
        <w:t xml:space="preserve">used the strategy method, whereby subjects specify their strategies in advance, without actual interaction or feedback. The literature has therefore yet to experimentally investigate actual interaction of players playing a CG with a diminishing marginal returns payoff-function.  </w:t>
      </w:r>
    </w:p>
    <w:p w14:paraId="722DFEC3" w14:textId="77777777" w:rsidR="00B54813" w:rsidRDefault="00B54813" w:rsidP="00B54813">
      <w:pPr>
        <w:spacing w:line="360" w:lineRule="auto"/>
        <w:rPr>
          <w:rFonts w:eastAsiaTheme="minorEastAsia"/>
          <w:color w:val="000000" w:themeColor="text1"/>
          <w:shd w:val="clear" w:color="auto" w:fill="FFFFFF"/>
        </w:rPr>
      </w:pPr>
    </w:p>
    <w:p w14:paraId="6993711A" w14:textId="13A901D5" w:rsidR="00B54813" w:rsidRDefault="00B54813" w:rsidP="00B54813">
      <w:pPr>
        <w:spacing w:line="360" w:lineRule="auto"/>
        <w:rPr>
          <w:rFonts w:eastAsiaTheme="minorEastAsia"/>
          <w:shd w:val="clear" w:color="auto" w:fill="FFFFFF"/>
        </w:rPr>
      </w:pPr>
      <w:r w:rsidRPr="003674FB">
        <w:rPr>
          <w:rFonts w:eastAsiaTheme="minorEastAsia"/>
          <w:shd w:val="clear" w:color="auto" w:fill="FFFFFF"/>
        </w:rPr>
        <w:t xml:space="preserve">The CG has been extensively manipulated, with prior experimental investigations focusing on the stake size, the game length and the number </w:t>
      </w:r>
      <w:r w:rsidRPr="00083106">
        <w:rPr>
          <w:rFonts w:eastAsiaTheme="minorEastAsia"/>
          <w:shd w:val="clear" w:color="auto" w:fill="FFFFFF"/>
        </w:rPr>
        <w:t xml:space="preserve">of </w:t>
      </w:r>
      <w:r w:rsidRPr="00CF4271">
        <w:rPr>
          <w:rFonts w:eastAsiaTheme="minorEastAsia"/>
          <w:shd w:val="clear" w:color="auto" w:fill="FFFFFF"/>
        </w:rPr>
        <w:t>players (Krockow et al., 2016). For</w:t>
      </w:r>
      <w:r w:rsidRPr="003674FB">
        <w:rPr>
          <w:rFonts w:eastAsiaTheme="minorEastAsia"/>
          <w:shd w:val="clear" w:color="auto" w:fill="FFFFFF"/>
        </w:rPr>
        <w:t xml:space="preserve"> instance, M</w:t>
      </w:r>
      <w:r w:rsidR="00D216C1">
        <w:rPr>
          <w:rFonts w:eastAsiaTheme="minorEastAsia"/>
          <w:shd w:val="clear" w:color="auto" w:fill="FFFFFF"/>
        </w:rPr>
        <w:t xml:space="preserve">cKelvey and Palfrey (1992) </w:t>
      </w:r>
      <w:r w:rsidRPr="003674FB">
        <w:rPr>
          <w:rFonts w:eastAsiaTheme="minorEastAsia"/>
          <w:shd w:val="clear" w:color="auto" w:fill="FFFFFF"/>
        </w:rPr>
        <w:t>demonstrated lowe</w:t>
      </w:r>
      <w:r w:rsidRPr="00C97FAF">
        <w:rPr>
          <w:rFonts w:eastAsiaTheme="minorEastAsia"/>
          <w:shd w:val="clear" w:color="auto" w:fill="FFFFFF"/>
        </w:rPr>
        <w:t>r rates of cooperation within games consisting of fewer nodes or higher payoffs. Expanding on this, Rapoport et al., (2003)</w:t>
      </w:r>
      <w:r w:rsidRPr="00B07B0C">
        <w:rPr>
          <w:rFonts w:eastAsiaTheme="minorEastAsia"/>
          <w:shd w:val="clear" w:color="auto" w:fill="FFFFFF"/>
        </w:rPr>
        <w:t xml:space="preserve"> suggested</w:t>
      </w:r>
      <w:r>
        <w:rPr>
          <w:rFonts w:eastAsiaTheme="minorEastAsia"/>
          <w:shd w:val="clear" w:color="auto" w:fill="FFFFFF"/>
        </w:rPr>
        <w:t xml:space="preserve"> that the size of stakes used in </w:t>
      </w:r>
      <w:r w:rsidR="00D216C1" w:rsidRPr="003674FB">
        <w:rPr>
          <w:rFonts w:eastAsiaTheme="minorEastAsia"/>
          <w:shd w:val="clear" w:color="auto" w:fill="FFFFFF"/>
        </w:rPr>
        <w:t>M</w:t>
      </w:r>
      <w:r w:rsidR="00D216C1">
        <w:rPr>
          <w:rFonts w:eastAsiaTheme="minorEastAsia"/>
          <w:shd w:val="clear" w:color="auto" w:fill="FFFFFF"/>
        </w:rPr>
        <w:t>cKelvey and Palfrey’s (1992)</w:t>
      </w:r>
      <w:r>
        <w:rPr>
          <w:rFonts w:eastAsiaTheme="minorEastAsia"/>
          <w:shd w:val="clear" w:color="auto" w:fill="FFFFFF"/>
        </w:rPr>
        <w:t xml:space="preserve"> study were relatively small and it was the insignificant stake size that promoted deviations from equilibrium play.</w:t>
      </w:r>
      <w:r>
        <w:rPr>
          <w:rStyle w:val="FootnoteReference"/>
          <w:rFonts w:eastAsiaTheme="minorEastAsia"/>
          <w:shd w:val="clear" w:color="auto" w:fill="FFFFFF"/>
        </w:rPr>
        <w:footnoteReference w:id="17"/>
      </w:r>
      <w:r>
        <w:rPr>
          <w:rFonts w:eastAsiaTheme="minorEastAsia"/>
          <w:shd w:val="clear" w:color="auto" w:fill="FFFFFF"/>
        </w:rPr>
        <w:t xml:space="preserve"> </w:t>
      </w:r>
      <w:r w:rsidRPr="00F17C32">
        <w:rPr>
          <w:rFonts w:eastAsiaTheme="minorEastAsia"/>
          <w:shd w:val="clear" w:color="auto" w:fill="FFFFFF"/>
        </w:rPr>
        <w:t>The authors proceeded to demonstrate that higher stakes, in this case a maximum individual payoff of $2,560, significantly reduced cooperation</w:t>
      </w:r>
      <w:r>
        <w:rPr>
          <w:rFonts w:eastAsiaTheme="minorEastAsia"/>
          <w:shd w:val="clear" w:color="auto" w:fill="FFFFFF"/>
        </w:rPr>
        <w:t>,</w:t>
      </w:r>
      <w:r w:rsidRPr="00F17C32">
        <w:rPr>
          <w:rFonts w:eastAsiaTheme="minorEastAsia"/>
          <w:shd w:val="clear" w:color="auto" w:fill="FFFFFF"/>
        </w:rPr>
        <w:t xml:space="preserve"> with 39</w:t>
      </w:r>
      <w:r>
        <w:rPr>
          <w:rFonts w:eastAsiaTheme="minorEastAsia"/>
          <w:shd w:val="clear" w:color="auto" w:fill="FFFFFF"/>
        </w:rPr>
        <w:t>.2</w:t>
      </w:r>
      <w:r w:rsidRPr="00F17C32">
        <w:rPr>
          <w:rFonts w:eastAsiaTheme="minorEastAsia"/>
          <w:shd w:val="clear" w:color="auto" w:fill="FFFFFF"/>
        </w:rPr>
        <w:t xml:space="preserve">% of the high-stake games terminating at the first node. Nonetheless, direct comparison with </w:t>
      </w:r>
      <w:r w:rsidR="00D216C1" w:rsidRPr="003674FB">
        <w:rPr>
          <w:rFonts w:eastAsiaTheme="minorEastAsia"/>
          <w:shd w:val="clear" w:color="auto" w:fill="FFFFFF"/>
        </w:rPr>
        <w:t>M</w:t>
      </w:r>
      <w:r w:rsidR="00D216C1">
        <w:rPr>
          <w:rFonts w:eastAsiaTheme="minorEastAsia"/>
          <w:shd w:val="clear" w:color="auto" w:fill="FFFFFF"/>
        </w:rPr>
        <w:t xml:space="preserve">cKelvey and Palfrey (1992) </w:t>
      </w:r>
      <w:r w:rsidRPr="00F17C32">
        <w:rPr>
          <w:rFonts w:eastAsiaTheme="minorEastAsia"/>
          <w:shd w:val="clear" w:color="auto" w:fill="FFFFFF"/>
        </w:rPr>
        <w:t xml:space="preserve">is difficult given confounding </w:t>
      </w:r>
      <w:r>
        <w:rPr>
          <w:rFonts w:eastAsiaTheme="minorEastAsia"/>
          <w:shd w:val="clear" w:color="auto" w:fill="FFFFFF"/>
        </w:rPr>
        <w:t>variables</w:t>
      </w:r>
      <w:r w:rsidRPr="00F17C32">
        <w:rPr>
          <w:rFonts w:eastAsiaTheme="minorEastAsia"/>
          <w:shd w:val="clear" w:color="auto" w:fill="FFFFFF"/>
        </w:rPr>
        <w:t xml:space="preserve">, primarily, </w:t>
      </w:r>
      <w:r w:rsidRPr="00C97FAF">
        <w:rPr>
          <w:rFonts w:eastAsiaTheme="minorEastAsia"/>
          <w:shd w:val="clear" w:color="auto" w:fill="FFFFFF"/>
        </w:rPr>
        <w:t>the fact that Rapoport et al., (2003)</w:t>
      </w:r>
      <w:r w:rsidRPr="00F17C32">
        <w:rPr>
          <w:rFonts w:eastAsiaTheme="minorEastAsia"/>
          <w:shd w:val="clear" w:color="auto" w:fill="FFFFFF"/>
        </w:rPr>
        <w:t xml:space="preserve"> investigated a 3-player version of the CG, following their identification that most investigations unne</w:t>
      </w:r>
      <w:r>
        <w:rPr>
          <w:rFonts w:eastAsiaTheme="minorEastAsia"/>
          <w:shd w:val="clear" w:color="auto" w:fill="FFFFFF"/>
        </w:rPr>
        <w:t>cessarily restrict the game to</w:t>
      </w:r>
      <w:r w:rsidRPr="00F17C32">
        <w:rPr>
          <w:rFonts w:eastAsiaTheme="minorEastAsia"/>
          <w:shd w:val="clear" w:color="auto" w:fill="FFFFFF"/>
        </w:rPr>
        <w:t xml:space="preserve"> 2-person interaction. The significance of the size of stakes was however corroborated by the experimental results of a 3-player CG of low</w:t>
      </w:r>
      <w:r w:rsidRPr="00B07B0C">
        <w:rPr>
          <w:rFonts w:eastAsiaTheme="minorEastAsia"/>
          <w:shd w:val="clear" w:color="auto" w:fill="FFFFFF"/>
        </w:rPr>
        <w:t>-stakes (Parco, Rappoport and Stein, 2002) which</w:t>
      </w:r>
      <w:r w:rsidRPr="00FA1A61">
        <w:rPr>
          <w:rFonts w:eastAsiaTheme="minorEastAsia"/>
          <w:shd w:val="clear" w:color="auto" w:fill="FFFFFF"/>
        </w:rPr>
        <w:t xml:space="preserve"> was</w:t>
      </w:r>
      <w:r w:rsidRPr="00F17C32">
        <w:rPr>
          <w:rFonts w:eastAsiaTheme="minorEastAsia"/>
          <w:shd w:val="clear" w:color="auto" w:fill="FFFFFF"/>
        </w:rPr>
        <w:t xml:space="preserve"> compared to the otherwise identical game of higher-stakes</w:t>
      </w:r>
      <w:r>
        <w:rPr>
          <w:rFonts w:eastAsiaTheme="minorEastAsia"/>
          <w:shd w:val="clear" w:color="auto" w:fill="FFFFFF"/>
        </w:rPr>
        <w:t>,</w:t>
      </w:r>
      <w:r w:rsidRPr="00F17C32">
        <w:rPr>
          <w:rFonts w:eastAsiaTheme="minorEastAsia"/>
          <w:shd w:val="clear" w:color="auto" w:fill="FFFFFF"/>
        </w:rPr>
        <w:t xml:space="preserve"> in the yet to be </w:t>
      </w:r>
      <w:r w:rsidRPr="00FA1A61">
        <w:rPr>
          <w:rFonts w:eastAsiaTheme="minorEastAsia"/>
          <w:shd w:val="clear" w:color="auto" w:fill="FFFFFF"/>
        </w:rPr>
        <w:t>published Rapoport et al., (2003). Results</w:t>
      </w:r>
      <w:r w:rsidRPr="00F17C32">
        <w:rPr>
          <w:rFonts w:eastAsiaTheme="minorEastAsia"/>
          <w:shd w:val="clear" w:color="auto" w:fill="FFFFFF"/>
        </w:rPr>
        <w:t xml:space="preserve"> illustrated </w:t>
      </w:r>
      <w:r>
        <w:rPr>
          <w:rFonts w:eastAsiaTheme="minorEastAsia"/>
          <w:shd w:val="clear" w:color="auto" w:fill="FFFFFF"/>
        </w:rPr>
        <w:t xml:space="preserve">that only 2.5% of games adhered to equilibrium-play in the low-stakes treatment, a significant reduction compared to the 39.2% in the high-stakes treatment. Results suggest that </w:t>
      </w:r>
      <w:r w:rsidRPr="008F7A8E">
        <w:rPr>
          <w:rFonts w:eastAsiaTheme="minorEastAsia"/>
          <w:shd w:val="clear" w:color="auto" w:fill="FFFFFF"/>
        </w:rPr>
        <w:t xml:space="preserve">game theoretic predictions may rely on meaningful financial incentives. </w:t>
      </w:r>
      <w:r w:rsidR="009E1796" w:rsidRPr="008F7A8E">
        <w:rPr>
          <w:rFonts w:eastAsiaTheme="minorEastAsia"/>
          <w:shd w:val="clear" w:color="auto" w:fill="FFFFFF"/>
        </w:rPr>
        <w:t xml:space="preserve">Bornstein et al., </w:t>
      </w:r>
      <w:r w:rsidRPr="008F7A8E">
        <w:rPr>
          <w:rFonts w:eastAsiaTheme="minorEastAsia"/>
          <w:shd w:val="clear" w:color="auto" w:fill="FFFFFF"/>
        </w:rPr>
        <w:t>(2004) echoed</w:t>
      </w:r>
      <w:r w:rsidRPr="00F17C32">
        <w:rPr>
          <w:rFonts w:eastAsiaTheme="minorEastAsia"/>
          <w:shd w:val="clear" w:color="auto" w:fill="FFFFFF"/>
        </w:rPr>
        <w:t xml:space="preserve"> Rapoport et al., (2003) by asserting that most experimental investigations of strategic games were unnecessarily restricted to individual decision-making agents. Bornstein et</w:t>
      </w:r>
      <w:r w:rsidRPr="00A64818">
        <w:rPr>
          <w:rFonts w:eastAsiaTheme="minorEastAsia"/>
          <w:shd w:val="clear" w:color="auto" w:fill="FFFFFF"/>
        </w:rPr>
        <w:t xml:space="preserve"> al</w:t>
      </w:r>
      <w:r w:rsidRPr="00E86089">
        <w:rPr>
          <w:rFonts w:eastAsiaTheme="minorEastAsia"/>
          <w:shd w:val="clear" w:color="auto" w:fill="FFFFFF"/>
        </w:rPr>
        <w:t>., (2004)</w:t>
      </w:r>
      <w:r w:rsidRPr="003674FB">
        <w:rPr>
          <w:rFonts w:eastAsiaTheme="minorEastAsia"/>
          <w:shd w:val="clear" w:color="auto" w:fill="FFFFFF"/>
        </w:rPr>
        <w:t xml:space="preserve"> compared the behaviour of individuals with groups, demonstrating</w:t>
      </w:r>
      <w:r>
        <w:rPr>
          <w:rFonts w:eastAsiaTheme="minorEastAsia"/>
          <w:shd w:val="clear" w:color="auto" w:fill="FFFFFF"/>
        </w:rPr>
        <w:t xml:space="preserve"> </w:t>
      </w:r>
      <w:r w:rsidRPr="003674FB">
        <w:rPr>
          <w:rFonts w:eastAsiaTheme="minorEastAsia"/>
          <w:shd w:val="clear" w:color="auto" w:fill="FFFFFF"/>
        </w:rPr>
        <w:t>earlier termination</w:t>
      </w:r>
      <w:r>
        <w:rPr>
          <w:rFonts w:eastAsiaTheme="minorEastAsia"/>
          <w:shd w:val="clear" w:color="auto" w:fill="FFFFFF"/>
        </w:rPr>
        <w:t xml:space="preserve"> among groups</w:t>
      </w:r>
      <w:r w:rsidRPr="003674FB">
        <w:rPr>
          <w:rFonts w:eastAsiaTheme="minorEastAsia"/>
          <w:shd w:val="clear" w:color="auto" w:fill="FFFFFF"/>
        </w:rPr>
        <w:t xml:space="preserve"> </w:t>
      </w:r>
      <w:r>
        <w:rPr>
          <w:rFonts w:eastAsiaTheme="minorEastAsia"/>
          <w:shd w:val="clear" w:color="auto" w:fill="FFFFFF"/>
        </w:rPr>
        <w:t>in both the linear and constant-sum CG. Corroborating findings from similar investigations of the Prisoner’s Dilemma; t</w:t>
      </w:r>
      <w:r w:rsidRPr="003674FB">
        <w:rPr>
          <w:rFonts w:eastAsiaTheme="minorEastAsia"/>
          <w:shd w:val="clear" w:color="auto" w:fill="FFFFFF"/>
        </w:rPr>
        <w:t xml:space="preserve">he authors suggested that groups are less </w:t>
      </w:r>
      <w:r>
        <w:rPr>
          <w:rFonts w:eastAsiaTheme="minorEastAsia"/>
          <w:shd w:val="clear" w:color="auto" w:fill="FFFFFF"/>
        </w:rPr>
        <w:t>pro-social</w:t>
      </w:r>
      <w:r w:rsidRPr="003674FB">
        <w:rPr>
          <w:rFonts w:eastAsiaTheme="minorEastAsia"/>
          <w:shd w:val="clear" w:color="auto" w:fill="FFFFFF"/>
        </w:rPr>
        <w:t xml:space="preserve"> and less </w:t>
      </w:r>
      <w:r>
        <w:rPr>
          <w:rFonts w:eastAsiaTheme="minorEastAsia"/>
          <w:shd w:val="clear" w:color="auto" w:fill="FFFFFF"/>
        </w:rPr>
        <w:t>error prone</w:t>
      </w:r>
      <w:r w:rsidRPr="003674FB">
        <w:rPr>
          <w:rFonts w:eastAsiaTheme="minorEastAsia"/>
          <w:shd w:val="clear" w:color="auto" w:fill="FFFFFF"/>
        </w:rPr>
        <w:t>,</w:t>
      </w:r>
      <w:r>
        <w:rPr>
          <w:rFonts w:eastAsiaTheme="minorEastAsia"/>
          <w:shd w:val="clear" w:color="auto" w:fill="FFFFFF"/>
        </w:rPr>
        <w:t xml:space="preserve"> while assuming these traits among opposing groups. This suggests that game-theoretic predictions are better suited for group-behaviour. Notably, d</w:t>
      </w:r>
      <w:r w:rsidRPr="003674FB">
        <w:rPr>
          <w:rFonts w:eastAsiaTheme="minorEastAsia"/>
          <w:shd w:val="clear" w:color="auto" w:fill="FFFFFF"/>
        </w:rPr>
        <w:t xml:space="preserve">espite a myriad of experimental manipulations of the CG, the literature has yet to consider extending its formulation to incorporate agency. </w:t>
      </w:r>
    </w:p>
    <w:p w14:paraId="1F91B0C8" w14:textId="77777777" w:rsidR="00EE0446" w:rsidRDefault="00EE0446" w:rsidP="00EE0446">
      <w:pPr>
        <w:spacing w:line="360" w:lineRule="auto"/>
        <w:rPr>
          <w:rFonts w:eastAsia="Times New Roman"/>
          <w:color w:val="000000"/>
          <w:shd w:val="clear" w:color="auto" w:fill="FFFFFF"/>
        </w:rPr>
      </w:pPr>
    </w:p>
    <w:p w14:paraId="3337B4EF" w14:textId="49652380" w:rsidR="00EE0446" w:rsidRPr="00EE0446" w:rsidRDefault="00EE0446" w:rsidP="00EE0446">
      <w:pPr>
        <w:pStyle w:val="ListParagraph"/>
        <w:numPr>
          <w:ilvl w:val="0"/>
          <w:numId w:val="1"/>
        </w:numPr>
        <w:spacing w:line="360" w:lineRule="auto"/>
        <w:rPr>
          <w:rFonts w:eastAsia="Times New Roman"/>
          <w:b/>
          <w:color w:val="000000"/>
          <w:shd w:val="clear" w:color="auto" w:fill="FFFFFF"/>
        </w:rPr>
      </w:pPr>
      <w:r w:rsidRPr="00EE0446">
        <w:rPr>
          <w:rFonts w:eastAsia="Times New Roman"/>
          <w:b/>
          <w:color w:val="000000"/>
          <w:shd w:val="clear" w:color="auto" w:fill="FFFFFF"/>
        </w:rPr>
        <w:t xml:space="preserve">The </w:t>
      </w:r>
      <w:r w:rsidR="00B8729E">
        <w:rPr>
          <w:rFonts w:eastAsia="Times New Roman"/>
          <w:b/>
          <w:color w:val="000000"/>
          <w:shd w:val="clear" w:color="auto" w:fill="FFFFFF"/>
        </w:rPr>
        <w:t xml:space="preserve">Integrative Divorce-Bargaining Game </w:t>
      </w:r>
      <w:r w:rsidRPr="00EE0446">
        <w:rPr>
          <w:rFonts w:eastAsia="Times New Roman"/>
          <w:b/>
          <w:color w:val="000000"/>
          <w:shd w:val="clear" w:color="auto" w:fill="FFFFFF"/>
        </w:rPr>
        <w:t xml:space="preserve"> </w:t>
      </w:r>
    </w:p>
    <w:p w14:paraId="7B250B37" w14:textId="16B2BDB4" w:rsidR="00EE0446" w:rsidRDefault="00EE0446" w:rsidP="00EE0446">
      <w:pPr>
        <w:spacing w:line="360" w:lineRule="auto"/>
      </w:pPr>
      <w:r w:rsidRPr="00274398">
        <w:rPr>
          <w:rFonts w:eastAsiaTheme="minorEastAsia"/>
          <w:shd w:val="clear" w:color="auto" w:fill="FFFFFF"/>
        </w:rPr>
        <w:t xml:space="preserve">The </w:t>
      </w:r>
      <w:r w:rsidR="00B8729E">
        <w:rPr>
          <w:rFonts w:eastAsia="Times New Roman"/>
        </w:rPr>
        <w:t>IDBG</w:t>
      </w:r>
      <w:r w:rsidRPr="00274398">
        <w:rPr>
          <w:rFonts w:eastAsiaTheme="minorEastAsia"/>
          <w:shd w:val="clear" w:color="auto" w:fill="FFFFFF"/>
        </w:rPr>
        <w:t xml:space="preserve"> models two opposing agents who are tasked with playing the CG on behalf of their respective principals. </w:t>
      </w:r>
      <w:r w:rsidRPr="003674FB">
        <w:t xml:space="preserve">The </w:t>
      </w:r>
      <w:r w:rsidR="00B8729E">
        <w:rPr>
          <w:rFonts w:eastAsia="Times New Roman"/>
        </w:rPr>
        <w:t>IDBG</w:t>
      </w:r>
      <w:r w:rsidRPr="003674FB">
        <w:t xml:space="preserve"> is played by Lawyer 1 (L</w:t>
      </w:r>
      <w:r w:rsidRPr="00274398">
        <w:rPr>
          <w:vertAlign w:val="subscript"/>
        </w:rPr>
        <w:t>1</w:t>
      </w:r>
      <w:r w:rsidRPr="003674FB">
        <w:t>) and Lawyer 2 (L</w:t>
      </w:r>
      <w:r w:rsidRPr="00274398">
        <w:rPr>
          <w:vertAlign w:val="subscript"/>
        </w:rPr>
        <w:t>2</w:t>
      </w:r>
      <w:r w:rsidRPr="003674FB">
        <w:t>) on behalf of their respective clients, Client 1 (C</w:t>
      </w:r>
      <w:r w:rsidRPr="00274398">
        <w:rPr>
          <w:vertAlign w:val="subscript"/>
        </w:rPr>
        <w:t>1</w:t>
      </w:r>
      <w:r w:rsidRPr="003674FB">
        <w:t>) and Client 2 (C</w:t>
      </w:r>
      <w:r w:rsidRPr="00274398">
        <w:rPr>
          <w:vertAlign w:val="subscript"/>
        </w:rPr>
        <w:t>2</w:t>
      </w:r>
      <w:r w:rsidRPr="003674FB">
        <w:t xml:space="preserve">). Nodes are ordered and denoted by t </w:t>
      </w:r>
      <w:r w:rsidRPr="00274398">
        <w:rPr>
          <w:rFonts w:ascii="MS Mincho" w:eastAsia="MS Mincho" w:hAnsi="MS Mincho" w:cs="MS Mincho"/>
        </w:rPr>
        <w:t>∈</w:t>
      </w:r>
      <w:r w:rsidRPr="003674FB">
        <w:t>{0, …, 8} where (0: Take at the first node; …; 8: Always Pass). L</w:t>
      </w:r>
      <w:r w:rsidRPr="00274398">
        <w:rPr>
          <w:vertAlign w:val="subscript"/>
        </w:rPr>
        <w:t xml:space="preserve">1 </w:t>
      </w:r>
      <w:r w:rsidRPr="00274398">
        <w:rPr>
          <w:rFonts w:eastAsiaTheme="minorEastAsia"/>
          <w:shd w:val="clear" w:color="auto" w:fill="FFFFFF"/>
        </w:rPr>
        <w:t xml:space="preserve">and </w:t>
      </w:r>
      <w:r w:rsidRPr="003674FB">
        <w:t>L</w:t>
      </w:r>
      <w:r w:rsidRPr="00274398">
        <w:rPr>
          <w:vertAlign w:val="subscript"/>
        </w:rPr>
        <w:t>2</w:t>
      </w:r>
      <w:r w:rsidRPr="003674FB">
        <w:t>’s pecuniary compensation is denoted by X. L</w:t>
      </w:r>
      <w:r w:rsidRPr="00274398">
        <w:rPr>
          <w:vertAlign w:val="subscript"/>
        </w:rPr>
        <w:t>1</w:t>
      </w:r>
      <w:r w:rsidRPr="003674FB">
        <w:t>’s pecuniary compensation at node t is denoted by X</w:t>
      </w:r>
      <w:r w:rsidRPr="00274398">
        <w:rPr>
          <w:vertAlign w:val="subscript"/>
        </w:rPr>
        <w:t>L1,t</w:t>
      </w:r>
      <w:r w:rsidRPr="003674FB">
        <w:t xml:space="preserve"> and L</w:t>
      </w:r>
      <w:r w:rsidRPr="00274398">
        <w:rPr>
          <w:vertAlign w:val="subscript"/>
        </w:rPr>
        <w:t>2</w:t>
      </w:r>
      <w:r w:rsidRPr="003674FB">
        <w:t>’s pecuniary compensation at node t is denoted by X</w:t>
      </w:r>
      <w:r w:rsidRPr="00274398">
        <w:rPr>
          <w:vertAlign w:val="subscript"/>
        </w:rPr>
        <w:t xml:space="preserve">L2,t. </w:t>
      </w:r>
      <w:r w:rsidRPr="003674FB">
        <w:t>The client’s distributive share minus all transaction costs is denoted by D. C</w:t>
      </w:r>
      <w:r w:rsidRPr="00274398">
        <w:rPr>
          <w:vertAlign w:val="subscript"/>
        </w:rPr>
        <w:t>1</w:t>
      </w:r>
      <w:r w:rsidRPr="003674FB">
        <w:t>’s share at node t is denoted by D</w:t>
      </w:r>
      <w:r w:rsidRPr="00274398">
        <w:rPr>
          <w:vertAlign w:val="subscript"/>
        </w:rPr>
        <w:t>C1,t</w:t>
      </w:r>
      <w:r w:rsidRPr="003674FB">
        <w:t xml:space="preserve">. </w:t>
      </w:r>
      <w:r w:rsidR="00785C85" w:rsidRPr="003674FB">
        <w:t>C</w:t>
      </w:r>
      <w:r w:rsidR="00785C85">
        <w:rPr>
          <w:vertAlign w:val="subscript"/>
        </w:rPr>
        <w:t>2</w:t>
      </w:r>
      <w:r w:rsidR="00785C85" w:rsidRPr="003674FB">
        <w:t>’s share at node t is denoted by D</w:t>
      </w:r>
      <w:r w:rsidR="00785C85">
        <w:rPr>
          <w:vertAlign w:val="subscript"/>
        </w:rPr>
        <w:t>C2</w:t>
      </w:r>
      <w:r w:rsidR="00785C85" w:rsidRPr="00274398">
        <w:rPr>
          <w:vertAlign w:val="subscript"/>
        </w:rPr>
        <w:t>,t</w:t>
      </w:r>
      <w:r w:rsidR="00785C85">
        <w:t>.</w:t>
      </w:r>
      <w:r w:rsidR="00785C85">
        <w:t xml:space="preserve"> </w:t>
      </w:r>
      <w:r w:rsidRPr="003674FB">
        <w:t>For simplicity, the client’s distributive share is assumed to equate their utility. The lawyers’ pecuniary compensation and the clients’ distributive shares are comprised of arbitrary values and the game persists for an arbitrary game-length. However, analysis generalises so long as the properties of the CG are satisfied</w:t>
      </w:r>
      <w:r w:rsidR="00B9568A">
        <w:t xml:space="preserve"> with respect to the clients’ payoff function</w:t>
      </w:r>
      <w:r w:rsidRPr="003674FB">
        <w:t>.</w:t>
      </w:r>
      <w:r w:rsidRPr="003674FB">
        <w:rPr>
          <w:rStyle w:val="FootnoteReference"/>
        </w:rPr>
        <w:footnoteReference w:id="18"/>
      </w:r>
      <w:r w:rsidRPr="003674FB">
        <w:t xml:space="preserve"> </w:t>
      </w:r>
    </w:p>
    <w:p w14:paraId="572C2761" w14:textId="77777777" w:rsidR="00EE0446" w:rsidRPr="004C7FE3" w:rsidRDefault="00EE0446" w:rsidP="00EE0446">
      <w:pPr>
        <w:spacing w:line="360" w:lineRule="auto"/>
      </w:pPr>
    </w:p>
    <w:p w14:paraId="53EF8B61" w14:textId="7974CBB7" w:rsidR="00EE0446" w:rsidRPr="00EE0446" w:rsidRDefault="00EE0446" w:rsidP="00EE0446">
      <w:pPr>
        <w:pStyle w:val="ListParagraph"/>
        <w:numPr>
          <w:ilvl w:val="1"/>
          <w:numId w:val="1"/>
        </w:numPr>
        <w:spacing w:line="360" w:lineRule="auto"/>
        <w:rPr>
          <w:rFonts w:eastAsiaTheme="minorEastAsia"/>
          <w:b/>
          <w:shd w:val="clear" w:color="auto" w:fill="FFFFFF"/>
        </w:rPr>
      </w:pPr>
      <w:r w:rsidRPr="00EE0446">
        <w:rPr>
          <w:rFonts w:eastAsiaTheme="minorEastAsia"/>
          <w:b/>
          <w:shd w:val="clear" w:color="auto" w:fill="FFFFFF"/>
        </w:rPr>
        <w:t xml:space="preserve">Theoretical Assumptions </w:t>
      </w:r>
    </w:p>
    <w:p w14:paraId="27C2EB98" w14:textId="77777777" w:rsidR="00EE0446" w:rsidRPr="004C7FE3"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A lawyer is tasked with playing the game on behalf of an unsophisticated client</w:t>
      </w:r>
      <w:r>
        <w:rPr>
          <w:rFonts w:eastAsiaTheme="minorEastAsia"/>
          <w:shd w:val="clear" w:color="auto" w:fill="FFFFFF"/>
        </w:rPr>
        <w:t>,</w:t>
      </w:r>
      <w:r w:rsidRPr="004C7FE3">
        <w:rPr>
          <w:rFonts w:eastAsiaTheme="minorEastAsia"/>
          <w:shd w:val="clear" w:color="auto" w:fill="FFFFFF"/>
        </w:rPr>
        <w:t xml:space="preserve"> at their discretion. </w:t>
      </w:r>
    </w:p>
    <w:p w14:paraId="7BD4FA82" w14:textId="77777777" w:rsidR="00EE0446" w:rsidRPr="004C7FE3"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 xml:space="preserve">The lawyer-client relationship is characterised by asymmetric information. Lawyers have complete and perfect information while clients are unaware of the structure of the game. The client does not have the means to independently detect foul-play or errors and cannot provide meaningful input. </w:t>
      </w:r>
    </w:p>
    <w:p w14:paraId="349B5AB1" w14:textId="77777777" w:rsidR="00EE0446" w:rsidRPr="004C7FE3"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 xml:space="preserve">Lawyers and clients face misaligned incentives. However, it is common knowledge among lawyers that all clients prefer </w:t>
      </w:r>
      <w:r>
        <w:rPr>
          <w:rFonts w:eastAsiaTheme="minorEastAsia"/>
          <w:shd w:val="clear" w:color="auto" w:fill="FFFFFF"/>
        </w:rPr>
        <w:t xml:space="preserve">greater distributive shares. </w:t>
      </w:r>
      <w:r w:rsidRPr="004C7FE3">
        <w:rPr>
          <w:rFonts w:eastAsiaTheme="minorEastAsia"/>
          <w:shd w:val="clear" w:color="auto" w:fill="FFFFFF"/>
        </w:rPr>
        <w:t xml:space="preserve"> </w:t>
      </w:r>
    </w:p>
    <w:p w14:paraId="46F30FBE" w14:textId="77777777" w:rsidR="00EE0446" w:rsidRPr="00005EF9"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 xml:space="preserve">The lawyer is aware of all the client’s personal preferences, that is, the unsophisticated client is unable to withhold relevant facts. </w:t>
      </w:r>
    </w:p>
    <w:p w14:paraId="75AFC4E3" w14:textId="77777777" w:rsidR="00EE0446" w:rsidRPr="004C7FE3"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 xml:space="preserve">A lawyers’ fee arrangement is offered on a ‘take-it-or-leave-it’ basis.  </w:t>
      </w:r>
    </w:p>
    <w:p w14:paraId="732122A3" w14:textId="77777777" w:rsidR="00EE0446" w:rsidRPr="004C7FE3" w:rsidRDefault="00EE0446" w:rsidP="00EE0446">
      <w:pPr>
        <w:pStyle w:val="ListParagraph"/>
        <w:numPr>
          <w:ilvl w:val="0"/>
          <w:numId w:val="2"/>
        </w:numPr>
        <w:tabs>
          <w:tab w:val="num" w:pos="360"/>
        </w:tabs>
        <w:spacing w:line="360" w:lineRule="auto"/>
        <w:rPr>
          <w:rFonts w:eastAsiaTheme="minorEastAsia"/>
          <w:b/>
          <w:shd w:val="clear" w:color="auto" w:fill="FFFFFF"/>
        </w:rPr>
      </w:pPr>
      <w:r w:rsidRPr="004C7FE3">
        <w:rPr>
          <w:rFonts w:eastAsiaTheme="minorEastAsia"/>
          <w:shd w:val="clear" w:color="auto" w:fill="FFFFFF"/>
        </w:rPr>
        <w:t xml:space="preserve">Clients cannot switch lawyers following the </w:t>
      </w:r>
      <w:r>
        <w:rPr>
          <w:rFonts w:eastAsiaTheme="minorEastAsia"/>
          <w:shd w:val="clear" w:color="auto" w:fill="FFFFFF"/>
        </w:rPr>
        <w:t xml:space="preserve">game’s initiation. </w:t>
      </w:r>
    </w:p>
    <w:p w14:paraId="593AAFE3" w14:textId="77777777" w:rsidR="00EE0446" w:rsidRDefault="00EE0446" w:rsidP="00EE0446">
      <w:pPr>
        <w:pStyle w:val="ListParagraph"/>
        <w:numPr>
          <w:ilvl w:val="0"/>
          <w:numId w:val="2"/>
        </w:numPr>
        <w:spacing w:line="360" w:lineRule="auto"/>
        <w:rPr>
          <w:rFonts w:eastAsiaTheme="minorEastAsia"/>
          <w:shd w:val="clear" w:color="auto" w:fill="FFFFFF"/>
        </w:rPr>
      </w:pPr>
      <w:r w:rsidRPr="00BC4860">
        <w:rPr>
          <w:rFonts w:eastAsiaTheme="minorEastAsia"/>
          <w:shd w:val="clear" w:color="auto" w:fill="FFFFFF"/>
        </w:rPr>
        <w:t>The clie</w:t>
      </w:r>
      <w:r>
        <w:rPr>
          <w:rFonts w:eastAsiaTheme="minorEastAsia"/>
          <w:shd w:val="clear" w:color="auto" w:fill="FFFFFF"/>
        </w:rPr>
        <w:t xml:space="preserve">nt’s preferences are not diametrically opposed. The clients possess asymmetry in preferences such that joint-gains can be realised through trade.  </w:t>
      </w:r>
      <w:r w:rsidRPr="00831C6F">
        <w:rPr>
          <w:rFonts w:eastAsiaTheme="minorEastAsia"/>
          <w:shd w:val="clear" w:color="auto" w:fill="FFFFFF"/>
        </w:rPr>
        <w:t xml:space="preserve">There is also asymmetry in knowledge about these preferences prior to the negotiation. </w:t>
      </w:r>
    </w:p>
    <w:p w14:paraId="11119208" w14:textId="58DA977B" w:rsidR="00480E8F" w:rsidRDefault="00886DA6" w:rsidP="00886DA6">
      <w:pPr>
        <w:pStyle w:val="ListParagraph"/>
        <w:numPr>
          <w:ilvl w:val="0"/>
          <w:numId w:val="2"/>
        </w:numPr>
        <w:spacing w:line="360" w:lineRule="auto"/>
        <w:rPr>
          <w:rFonts w:eastAsiaTheme="minorEastAsia"/>
          <w:shd w:val="clear" w:color="auto" w:fill="FFFFFF"/>
        </w:rPr>
      </w:pPr>
      <w:r>
        <w:rPr>
          <w:rFonts w:eastAsiaTheme="minorEastAsia"/>
          <w:shd w:val="clear" w:color="auto" w:fill="FFFFFF"/>
        </w:rPr>
        <w:t>The divorce-lawyer is assumed to bear a fixed cost when accepting a new client for representation. Subsequently, the divorce-lawyers are assumed to bear fixed-costs, per period, during the pre-trial and trial phase. Divorce-lawyers will additionally</w:t>
      </w:r>
      <w:r w:rsidRPr="00B1383C">
        <w:rPr>
          <w:rFonts w:eastAsiaTheme="minorEastAsia"/>
          <w:shd w:val="clear" w:color="auto" w:fill="FFFFFF"/>
        </w:rPr>
        <w:t xml:space="preserve"> bear variable costs </w:t>
      </w:r>
      <w:r>
        <w:rPr>
          <w:rFonts w:eastAsiaTheme="minorEastAsia"/>
          <w:shd w:val="clear" w:color="auto" w:fill="FFFFFF"/>
        </w:rPr>
        <w:t xml:space="preserve">(litigation costs) in the trial phase, in line with their costly effort. </w:t>
      </w:r>
    </w:p>
    <w:p w14:paraId="6DA0989D" w14:textId="77777777" w:rsidR="00AD686D" w:rsidRPr="00886DA6" w:rsidRDefault="00AD686D" w:rsidP="00AD686D">
      <w:pPr>
        <w:pStyle w:val="ListParagraph"/>
        <w:spacing w:line="360" w:lineRule="auto"/>
        <w:ind w:left="1080"/>
        <w:rPr>
          <w:rFonts w:eastAsiaTheme="minorEastAsia"/>
          <w:shd w:val="clear" w:color="auto" w:fill="FFFFFF"/>
        </w:rPr>
      </w:pPr>
    </w:p>
    <w:p w14:paraId="43FBC2E9" w14:textId="7AB6FEA7" w:rsidR="00EE0446" w:rsidRPr="00EE0446" w:rsidRDefault="00EE0446" w:rsidP="00EE0446">
      <w:pPr>
        <w:pStyle w:val="ListParagraph"/>
        <w:numPr>
          <w:ilvl w:val="2"/>
          <w:numId w:val="1"/>
        </w:numPr>
        <w:spacing w:line="360" w:lineRule="auto"/>
        <w:rPr>
          <w:rFonts w:eastAsiaTheme="minorEastAsia"/>
          <w:b/>
          <w:shd w:val="clear" w:color="auto" w:fill="FFFFFF"/>
        </w:rPr>
      </w:pPr>
      <w:r w:rsidRPr="00EE0446">
        <w:rPr>
          <w:rFonts w:eastAsiaTheme="minorEastAsia"/>
          <w:b/>
          <w:shd w:val="clear" w:color="auto" w:fill="FFFFFF"/>
        </w:rPr>
        <w:t xml:space="preserve">Theoretical background and plausibility </w:t>
      </w:r>
    </w:p>
    <w:p w14:paraId="2C715065" w14:textId="52A1A5B6" w:rsidR="00EE0446" w:rsidRPr="00C97FAF" w:rsidRDefault="00EE0446" w:rsidP="00EE0446">
      <w:pPr>
        <w:spacing w:line="360" w:lineRule="auto"/>
        <w:rPr>
          <w:highlight w:val="yellow"/>
        </w:rPr>
      </w:pPr>
      <w:r>
        <w:rPr>
          <w:rFonts w:eastAsiaTheme="minorEastAsia"/>
          <w:shd w:val="clear" w:color="auto" w:fill="FFFFFF"/>
        </w:rPr>
        <w:t xml:space="preserve">Hiring and working with agency is common in </w:t>
      </w:r>
      <w:r w:rsidRPr="00EA15F3">
        <w:rPr>
          <w:rFonts w:eastAsiaTheme="minorEastAsia"/>
          <w:shd w:val="clear" w:color="auto" w:fill="FFFFFF"/>
        </w:rPr>
        <w:t>negotiations (Lee and Thompson, 2011). The</w:t>
      </w:r>
      <w:r w:rsidRPr="004C7FE3">
        <w:rPr>
          <w:rFonts w:eastAsiaTheme="minorEastAsia"/>
          <w:shd w:val="clear" w:color="auto" w:fill="FFFFFF"/>
        </w:rPr>
        <w:t xml:space="preserve"> plausibility of unsophisticated</w:t>
      </w:r>
      <w:r>
        <w:rPr>
          <w:rFonts w:eastAsiaTheme="minorEastAsia"/>
          <w:shd w:val="clear" w:color="auto" w:fill="FFFFFF"/>
        </w:rPr>
        <w:t xml:space="preserve">, </w:t>
      </w:r>
      <w:r w:rsidRPr="004C7FE3">
        <w:rPr>
          <w:rFonts w:eastAsiaTheme="minorEastAsia"/>
          <w:shd w:val="clear" w:color="auto" w:fill="FFFFFF"/>
        </w:rPr>
        <w:t>inexperienced</w:t>
      </w:r>
      <w:r>
        <w:rPr>
          <w:rFonts w:eastAsiaTheme="minorEastAsia"/>
          <w:shd w:val="clear" w:color="auto" w:fill="FFFFFF"/>
        </w:rPr>
        <w:t xml:space="preserve"> and reliant</w:t>
      </w:r>
      <w:r w:rsidRPr="004C7FE3">
        <w:rPr>
          <w:rFonts w:eastAsiaTheme="minorEastAsia"/>
          <w:shd w:val="clear" w:color="auto" w:fill="FFFFFF"/>
        </w:rPr>
        <w:t xml:space="preserve"> principals, who are unaware of the complexities of the disputes</w:t>
      </w:r>
      <w:r>
        <w:rPr>
          <w:rFonts w:eastAsiaTheme="minorEastAsia"/>
          <w:shd w:val="clear" w:color="auto" w:fill="FFFFFF"/>
        </w:rPr>
        <w:t xml:space="preserve"> (asymmetric information)</w:t>
      </w:r>
      <w:r w:rsidRPr="004C7FE3">
        <w:rPr>
          <w:rFonts w:eastAsiaTheme="minorEastAsia"/>
          <w:shd w:val="clear" w:color="auto" w:fill="FFFFFF"/>
        </w:rPr>
        <w:t xml:space="preserve">, cannot provide input or cheaply detect errors is consistent with </w:t>
      </w:r>
      <w:r w:rsidRPr="00C97FAF">
        <w:rPr>
          <w:rFonts w:eastAsiaTheme="minorEastAsia"/>
          <w:shd w:val="clear" w:color="auto" w:fill="FFFFFF"/>
        </w:rPr>
        <w:t xml:space="preserve">prior literature </w:t>
      </w:r>
      <w:r w:rsidRPr="00C97FAF">
        <w:t xml:space="preserve">(Thomason, 1991; </w:t>
      </w:r>
      <w:r w:rsidRPr="00EA15F3">
        <w:t xml:space="preserve">Maccoby and Mnookin, </w:t>
      </w:r>
      <w:r w:rsidRPr="00E651D4">
        <w:t>1992; Watts, 1994; Langevoort</w:t>
      </w:r>
      <w:r w:rsidRPr="00CF4271">
        <w:t xml:space="preserve"> and Rasmussen, 1997</w:t>
      </w:r>
      <w:r w:rsidR="005A0E14">
        <w:t xml:space="preserve">; </w:t>
      </w:r>
      <w:r w:rsidRPr="00C97FAF">
        <w:t>Mnookin and Sussk</w:t>
      </w:r>
      <w:r w:rsidR="005A0E14">
        <w:t xml:space="preserve">ind, 1999; Mnookin et al., 2000; </w:t>
      </w:r>
      <w:r w:rsidRPr="00D17A4F">
        <w:t>Mather, 2003; Hollander</w:t>
      </w:r>
      <w:r w:rsidRPr="00DA2021">
        <w:t>-</w:t>
      </w:r>
      <w:r w:rsidRPr="00E651D4">
        <w:t xml:space="preserve">Blumoff, 2010; Zacharias, 2008; </w:t>
      </w:r>
      <w:r w:rsidR="00C97FAF" w:rsidRPr="00E651D4">
        <w:t xml:space="preserve">Wistrich and Rachlinski, 2013). </w:t>
      </w:r>
      <w:r w:rsidRPr="00E651D4">
        <w:t>Thomason (1991) for instance</w:t>
      </w:r>
      <w:r w:rsidRPr="00CF5212">
        <w:t>, empirically demonstrated that while plaintiffs have legal control over settlement decisions</w:t>
      </w:r>
      <w:r>
        <w:t xml:space="preserve">, settlement </w:t>
      </w:r>
      <w:r w:rsidRPr="00D17A4F">
        <w:t>demands are typically consistent with the agent’s financial incentives. Additionally, Mather (2003) highlighted how most</w:t>
      </w:r>
      <w:r w:rsidRPr="004C7FE3">
        <w:t xml:space="preserve"> divorce lawyers see themselves as in charge</w:t>
      </w:r>
      <w:r>
        <w:t>,</w:t>
      </w:r>
      <w:r w:rsidRPr="004C7FE3">
        <w:t xml:space="preserve"> and that the high-volume practice of divorce law provides lawyers with leverage to operate at their discretion. </w:t>
      </w:r>
      <w:r>
        <w:t xml:space="preserve">This issue is potentially exacerbated by misaligned </w:t>
      </w:r>
      <w:r w:rsidRPr="00E651D4">
        <w:t>incentives (Miller, 1987; Watts, 1994).</w:t>
      </w:r>
      <w:r w:rsidRPr="00780336">
        <w:t xml:space="preserve"> </w:t>
      </w:r>
      <w:r w:rsidR="007E7A33">
        <w:t xml:space="preserve">For instance, divergence of interests may occur because unlike clients, attorneys are interested in professional advancement, cultivating reputations, pecuniary compensation and productively allocating their time across clientele </w:t>
      </w:r>
      <w:r w:rsidR="007E7A33" w:rsidRPr="00C97FAF">
        <w:t>(Robbennolt, 2014). Furthermore</w:t>
      </w:r>
      <w:r w:rsidR="007E7A33">
        <w:t xml:space="preserve">, traditionally, law firms imposed minimum billable hours requirement, not only pressuring lawyers to meet high billable hour requirements, but also typically basing bonuses and career advancement on the number of </w:t>
      </w:r>
      <w:r w:rsidR="007E7A33" w:rsidRPr="005A0E14">
        <w:t>billable hours (Fortney, 2005). Misaligned</w:t>
      </w:r>
      <w:r w:rsidR="007E7A33">
        <w:t xml:space="preserve"> incentives may mean that ethical and efficient lawyers are penalised, while unethical and inefficient lawyers are rewarded (Fortney, 2005). </w:t>
      </w:r>
      <w:r w:rsidRPr="00780336">
        <w:t>Separately</w:t>
      </w:r>
      <w:r>
        <w:t>, it is argued more plausible for compensation methods to be offered on a</w:t>
      </w:r>
      <w:r w:rsidRPr="004C7FE3">
        <w:t xml:space="preserve"> ‘take-it-or-leave-it basis’ as the one-shot </w:t>
      </w:r>
      <w:r w:rsidR="00032E0D">
        <w:t xml:space="preserve">(unsophisticated) </w:t>
      </w:r>
      <w:r w:rsidRPr="004C7FE3">
        <w:t>divorcee is unlikely to benefit from economies of scale or any meaningful bargaining leverage.</w:t>
      </w:r>
      <w:r>
        <w:t xml:space="preserve"> </w:t>
      </w:r>
      <w:r w:rsidRPr="004C7FE3">
        <w:t>Importantly, in real-life, clients can switch representatives. However, the costs of switching with respect to relationship-</w:t>
      </w:r>
      <w:r w:rsidRPr="00CF4271">
        <w:t>building (Langevoort and Rasmussen, 1997) and</w:t>
      </w:r>
      <w:r w:rsidRPr="004C7FE3">
        <w:t xml:space="preserve"> their inability to detect errors, suggests that unsophisticated clients would not be incentivised to do so. </w:t>
      </w:r>
      <w:r>
        <w:t xml:space="preserve">The </w:t>
      </w:r>
      <w:r w:rsidRPr="004C7FE3">
        <w:t xml:space="preserve">lawyer is </w:t>
      </w:r>
      <w:r>
        <w:t xml:space="preserve">also </w:t>
      </w:r>
      <w:r w:rsidRPr="004C7FE3">
        <w:t xml:space="preserve">assumed to possess </w:t>
      </w:r>
      <w:r>
        <w:t>perfect</w:t>
      </w:r>
      <w:r w:rsidRPr="004C7FE3">
        <w:t xml:space="preserve"> information </w:t>
      </w:r>
      <w:r>
        <w:t xml:space="preserve">regarding their client’s preferences. While a simplification, this is </w:t>
      </w:r>
      <w:r w:rsidRPr="00E651D4">
        <w:t>supported by Mnookin and Kornhauser (1979) who considered</w:t>
      </w:r>
      <w:r>
        <w:t xml:space="preserve"> how lawyers may play the role of counsellors, in that they help parties unveil, clarify and carefully examine their own preferences. This is also </w:t>
      </w:r>
      <w:r w:rsidRPr="008F7A8E">
        <w:t>consistent with Dana and Spier (1993) who</w:t>
      </w:r>
      <w:r>
        <w:t xml:space="preserve"> assumed that clients do not know the merits of their case and as experts, attorneys discover these merits. </w:t>
      </w:r>
    </w:p>
    <w:p w14:paraId="1225EDD0" w14:textId="77777777" w:rsidR="00EE0446" w:rsidRDefault="00EE0446" w:rsidP="00EE0446">
      <w:pPr>
        <w:spacing w:line="360" w:lineRule="auto"/>
      </w:pPr>
    </w:p>
    <w:p w14:paraId="5DE5EB52" w14:textId="0B25BCAF" w:rsidR="00711EF9" w:rsidRDefault="00EE0446" w:rsidP="006A0FEF">
      <w:pPr>
        <w:spacing w:line="360" w:lineRule="auto"/>
      </w:pPr>
      <w:r>
        <w:t xml:space="preserve">The </w:t>
      </w:r>
      <w:r w:rsidR="00B8729E">
        <w:rPr>
          <w:rFonts w:eastAsia="Times New Roman"/>
        </w:rPr>
        <w:t>IDBG</w:t>
      </w:r>
      <w:r>
        <w:t xml:space="preserve"> also assumes asymmetric preferences that allow for joint-gains and integrative divorce-bargaining to take place. </w:t>
      </w:r>
      <w:r w:rsidRPr="00E651D4">
        <w:t>This is consistent with the literature (Mnookin, 1985; Mnookin and Kornhauser, 1979; Maccoby and Mnookin, 1992; Brinig and Alexeev, 1993; Gilson and Mnookin, 1994; Wilkinson-Ryan and Small, 2008). Indeed, Mnookin et al., (2000) argued that value-creating opportunities can be found in almost every divorce negotiation.</w:t>
      </w:r>
      <w:r w:rsidRPr="00E651D4">
        <w:rPr>
          <w:rStyle w:val="FootnoteReference"/>
        </w:rPr>
        <w:footnoteReference w:id="19"/>
      </w:r>
      <w:r w:rsidRPr="00E651D4">
        <w:t xml:space="preserve"> For instance, through interviews, Maccoby and Mnookin (1992) identified</w:t>
      </w:r>
      <w:r>
        <w:t xml:space="preserve"> significant differences between the desires of mothers and fathers with regards to physical custody.</w:t>
      </w:r>
      <w:r>
        <w:rPr>
          <w:rStyle w:val="FootnoteReference"/>
        </w:rPr>
        <w:footnoteReference w:id="20"/>
      </w:r>
      <w:r>
        <w:t xml:space="preserve"> </w:t>
      </w:r>
      <w:r w:rsidRPr="00EA15F3">
        <w:t>Maccoby and Mnookin (1992) also considered how parental preferences may vary among the wide variety of duties associated with child-rearing. Separately, while most fathers and mothers desire joint legal custody</w:t>
      </w:r>
      <w:r w:rsidRPr="00EA15F3">
        <w:rPr>
          <w:rStyle w:val="FootnoteReference"/>
        </w:rPr>
        <w:footnoteReference w:id="21"/>
      </w:r>
      <w:r w:rsidRPr="00EA15F3">
        <w:t xml:space="preserve"> (Maccoby and Mnookin, 1992); it is likely</w:t>
      </w:r>
      <w:r>
        <w:t xml:space="preserve"> that preferences concerning a child’s education, religious upbringing and healthcare will involve multiple and potentially differentially valued </w:t>
      </w:r>
      <w:r w:rsidRPr="008F7A8E">
        <w:t>issues. Brinig and Alexeev (1993) consider</w:t>
      </w:r>
      <w:r>
        <w:t xml:space="preserve"> how women may prefer their husband’s participation in custodial responsibilities given their preference to </w:t>
      </w:r>
      <w:r w:rsidRPr="00E651D4">
        <w:t xml:space="preserve">preserve some time for private pursuits, </w:t>
      </w:r>
      <w:r w:rsidR="006A0FEF" w:rsidRPr="00E651D4">
        <w:t xml:space="preserve">suggesting </w:t>
      </w:r>
      <w:r w:rsidRPr="00E651D4">
        <w:t xml:space="preserve">opportunities for trade. Asymmetry in knowledge about preferences prior to negotiations is consistent with Mnookin (1985) who stated that spouses may not know each other’s </w:t>
      </w:r>
      <w:r w:rsidR="00032E0D">
        <w:t xml:space="preserve">true preferences with certainty.  </w:t>
      </w:r>
      <w:r w:rsidRPr="00E651D4">
        <w:t>Additionally, divorcing spouses may not have carefully assessed all their relevant preferences prior to divorce, and furthermore, preferences may change unpredictably following divorce (Mnookin and Kornhauser, 1979; Mnookin, 1985), suggesting</w:t>
      </w:r>
      <w:r>
        <w:t xml:space="preserve"> that asymmetry in knowledge about preferences is plausible. </w:t>
      </w:r>
      <w:r w:rsidR="00FF4DA0">
        <w:t>The plausibility of the divorce-lawyer bearing a fixed cost when representing a new client is consistent with the relationship-specific investments that lawyers make following new client-lawyer relationships (Langevoort and Rasmussen, 1997). That is, the lawyer incurs costs when accepting new clients, and so, their utility is suspected to be higher should they simply extract more business from existing clients (Langevoort and Rasmussen, 1997). T</w:t>
      </w:r>
      <w:r w:rsidR="006A0FEF">
        <w:t xml:space="preserve">he plausibility of fixed costs of divorce-bargaining is </w:t>
      </w:r>
      <w:r w:rsidR="006A0FEF" w:rsidRPr="00C706B9">
        <w:t>consistent with Rubinstein’s (1982) fixed</w:t>
      </w:r>
      <w:r w:rsidR="006A0FEF">
        <w:t xml:space="preserve">-cost bargaining model, wherein each player bears a fixed bargaining cost per period. </w:t>
      </w:r>
      <w:r w:rsidR="006A0FEF" w:rsidRPr="008F7A8E">
        <w:t>Furthermore, Emons (2017) su</w:t>
      </w:r>
      <w:r w:rsidR="006A0FEF">
        <w:t>ggested that lawyers incur fixed costs (i.e. overheads) and marginal costs for eac</w:t>
      </w:r>
      <w:r w:rsidR="00032E0D">
        <w:t>h client they represent. If the</w:t>
      </w:r>
      <w:r w:rsidR="006A0FEF">
        <w:t xml:space="preserve"> lawyer is assumed to represent one client at any given time, the marginal cost is indeed expected to be constant. </w:t>
      </w:r>
      <w:r w:rsidR="006A0FEF" w:rsidRPr="00357F46">
        <w:t>Lastly, Polinsky and Rubinfeld (2003)</w:t>
      </w:r>
      <w:r w:rsidR="006A0FEF">
        <w:t xml:space="preserve"> assumed that the lawyer’s opportunity cost equals their hourly-fee</w:t>
      </w:r>
      <w:r w:rsidR="006A0FEF">
        <w:rPr>
          <w:rStyle w:val="FootnoteReference"/>
        </w:rPr>
        <w:footnoteReference w:id="22"/>
      </w:r>
      <w:r w:rsidR="006A0FEF">
        <w:t xml:space="preserve"> indicating fixed opportunity costs. </w:t>
      </w:r>
    </w:p>
    <w:p w14:paraId="4E43415E" w14:textId="77777777" w:rsidR="00480E8F" w:rsidRDefault="00480E8F" w:rsidP="006A0FEF">
      <w:pPr>
        <w:spacing w:line="360" w:lineRule="auto"/>
      </w:pPr>
    </w:p>
    <w:p w14:paraId="0B94ADD0" w14:textId="38F357A1" w:rsidR="006A0FEF" w:rsidRPr="006A0FEF" w:rsidRDefault="006A0FEF" w:rsidP="006A0FEF">
      <w:pPr>
        <w:pStyle w:val="ListParagraph"/>
        <w:numPr>
          <w:ilvl w:val="1"/>
          <w:numId w:val="1"/>
        </w:numPr>
        <w:spacing w:line="360" w:lineRule="auto"/>
        <w:rPr>
          <w:rFonts w:eastAsiaTheme="minorEastAsia"/>
          <w:b/>
          <w:shd w:val="clear" w:color="auto" w:fill="FFFFFF"/>
        </w:rPr>
      </w:pPr>
      <w:r w:rsidRPr="006A0FEF">
        <w:rPr>
          <w:rFonts w:eastAsiaTheme="minorEastAsia"/>
          <w:b/>
          <w:shd w:val="clear" w:color="auto" w:fill="FFFFFF"/>
        </w:rPr>
        <w:t xml:space="preserve">The Production Function of Integrative Divorce-Bargaining  </w:t>
      </w:r>
    </w:p>
    <w:p w14:paraId="6454D502" w14:textId="77777777" w:rsidR="00AD686D" w:rsidRPr="00AD686D" w:rsidRDefault="00AD686D" w:rsidP="00AD686D">
      <w:pPr>
        <w:spacing w:line="360" w:lineRule="auto"/>
        <w:rPr>
          <w:rFonts w:eastAsiaTheme="minorEastAsia"/>
          <w:color w:val="000000" w:themeColor="text1"/>
        </w:rPr>
      </w:pPr>
      <w:r w:rsidRPr="00AD686D">
        <w:rPr>
          <w:rFonts w:eastAsiaTheme="minorEastAsia"/>
          <w:b/>
          <w:shd w:val="clear" w:color="auto" w:fill="FFFFFF"/>
        </w:rPr>
        <w:t xml:space="preserve">Table 1 </w:t>
      </w:r>
      <w:r w:rsidRPr="00AD686D">
        <w:rPr>
          <w:rFonts w:eastAsiaTheme="minorEastAsia"/>
          <w:shd w:val="clear" w:color="auto" w:fill="FFFFFF"/>
        </w:rPr>
        <w:t>details the production of joint-gains from integrative divorce-bargaining when complementary interests are assumed. Production is conceptualised to be a function of t, the amount of information-exchange. The production function follows all three stages of the short-run production function given that the spouses’ matrimonial assets and liabilities are assumed to be fixed in the short-run. At t=0, an equal, albeit non-Pareto optimal distribution is presented, consistent with how the fixed-pie bias is present at the outset of most negotiations (Thompson and Hastie, 1990), driving negotiators to split ‘existing size of the pie’ equally.</w:t>
      </w:r>
      <w:r>
        <w:rPr>
          <w:rStyle w:val="FootnoteReference"/>
          <w:rFonts w:eastAsiaTheme="minorEastAsia"/>
          <w:shd w:val="clear" w:color="auto" w:fill="FFFFFF"/>
        </w:rPr>
        <w:footnoteReference w:id="23"/>
      </w:r>
      <w:r w:rsidRPr="00AD686D">
        <w:rPr>
          <w:rFonts w:eastAsiaTheme="minorEastAsia"/>
          <w:shd w:val="clear" w:color="auto" w:fill="FFFFFF"/>
        </w:rPr>
        <w:t xml:space="preserve"> Initially, as lawyers begin to engage in information-exchange, total gains increase at an increasing rate. However, the marginal product of information-exchange </w:t>
      </w:r>
      <w:r w:rsidRPr="00AD686D">
        <w:rPr>
          <w:rFonts w:eastAsiaTheme="minorEastAsia"/>
          <w:color w:val="000000" w:themeColor="text1"/>
        </w:rPr>
        <w:t>(MP</w:t>
      </w:r>
      <w:r w:rsidRPr="00AD686D">
        <w:rPr>
          <w:rFonts w:eastAsiaTheme="minorEastAsia"/>
          <w:color w:val="000000" w:themeColor="text1"/>
          <w:vertAlign w:val="subscript"/>
        </w:rPr>
        <w:t>t</w:t>
      </w:r>
      <w:r w:rsidRPr="00AD686D">
        <w:rPr>
          <w:rFonts w:eastAsiaTheme="minorEastAsia"/>
          <w:color w:val="000000" w:themeColor="text1"/>
        </w:rPr>
        <w:t>) will begin to diminish as value-creation opportunities deplete</w:t>
      </w:r>
      <w:r w:rsidRPr="00762BAC">
        <w:rPr>
          <w:rStyle w:val="FootnoteReference"/>
          <w:rFonts w:eastAsiaTheme="minorEastAsia"/>
          <w:color w:val="000000" w:themeColor="text1"/>
        </w:rPr>
        <w:footnoteReference w:id="24"/>
      </w:r>
      <w:r w:rsidRPr="00AD686D">
        <w:rPr>
          <w:rFonts w:eastAsiaTheme="minorEastAsia"/>
          <w:color w:val="000000" w:themeColor="text1"/>
        </w:rPr>
        <w:t xml:space="preserve"> and transaction costs, including financial, psychological and emotional costs (Mnookin and Kornhauser, 1979; Maccoby and Mnookin, 1992), rise.</w:t>
      </w:r>
      <w:r>
        <w:rPr>
          <w:rStyle w:val="FootnoteReference"/>
          <w:rFonts w:eastAsiaTheme="minorEastAsia"/>
          <w:color w:val="000000" w:themeColor="text1"/>
        </w:rPr>
        <w:footnoteReference w:id="25"/>
      </w:r>
      <w:r w:rsidRPr="00AD686D">
        <w:rPr>
          <w:rFonts w:eastAsiaTheme="minorEastAsia"/>
          <w:color w:val="000000" w:themeColor="text1"/>
        </w:rPr>
        <w:t xml:space="preserve"> Eventually the joint-outcome reaches a maximum at t=5. Impediment past this point will increase transaction costs without producing further joint-gains, indicating negative MP</w:t>
      </w:r>
      <w:r w:rsidRPr="00AD686D">
        <w:rPr>
          <w:rFonts w:eastAsiaTheme="minorEastAsia"/>
          <w:color w:val="000000" w:themeColor="text1"/>
          <w:vertAlign w:val="subscript"/>
        </w:rPr>
        <w:t>t</w:t>
      </w:r>
      <w:r w:rsidRPr="00AD686D">
        <w:rPr>
          <w:rFonts w:eastAsiaTheme="minorEastAsia"/>
          <w:color w:val="000000" w:themeColor="text1"/>
        </w:rPr>
        <w:t>.</w:t>
      </w:r>
    </w:p>
    <w:p w14:paraId="78FAE42A" w14:textId="77777777" w:rsidR="00AD686D" w:rsidRDefault="00AD686D" w:rsidP="00EE0446">
      <w:pPr>
        <w:spacing w:line="360" w:lineRule="auto"/>
        <w:rPr>
          <w:rFonts w:eastAsiaTheme="minorEastAsia"/>
          <w:b/>
          <w:shd w:val="clear" w:color="auto" w:fill="FFFFFF"/>
        </w:rPr>
      </w:pPr>
    </w:p>
    <w:p w14:paraId="5099C50B" w14:textId="77777777" w:rsidR="008C6EBB" w:rsidRPr="00A215F9" w:rsidRDefault="008C6EBB" w:rsidP="008C6EBB">
      <w:pPr>
        <w:spacing w:line="360" w:lineRule="auto"/>
        <w:ind w:firstLine="360"/>
        <w:rPr>
          <w:vertAlign w:val="superscript"/>
        </w:rPr>
      </w:pPr>
      <w:r w:rsidRPr="00A215F9">
        <w:rPr>
          <w:b/>
          <w:u w:val="single"/>
        </w:rPr>
        <w:t>Table 1: The production Function</w:t>
      </w:r>
      <w:r>
        <w:rPr>
          <w:b/>
          <w:u w:val="single"/>
        </w:rPr>
        <w:t xml:space="preserve"> of Integrative Divorce-Bargaining</w:t>
      </w:r>
    </w:p>
    <w:tbl>
      <w:tblPr>
        <w:tblpPr w:leftFromText="180" w:rightFromText="180" w:vertAnchor="text" w:horzAnchor="page" w:tblpX="1630" w:tblpY="182"/>
        <w:tblW w:w="851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738"/>
        <w:gridCol w:w="2575"/>
        <w:gridCol w:w="1279"/>
        <w:gridCol w:w="2927"/>
      </w:tblGrid>
      <w:tr w:rsidR="008C6EBB" w:rsidRPr="004C7FE3" w14:paraId="22F5782E" w14:textId="77777777" w:rsidTr="00991A78">
        <w:trPr>
          <w:trHeight w:val="351"/>
        </w:trPr>
        <w:tc>
          <w:tcPr>
            <w:tcW w:w="1738" w:type="dxa"/>
          </w:tcPr>
          <w:p w14:paraId="3629073F" w14:textId="77777777" w:rsidR="008C6EBB" w:rsidRPr="004C7FE3" w:rsidRDefault="008C6EBB" w:rsidP="00991A78">
            <w:pPr>
              <w:spacing w:line="360" w:lineRule="auto"/>
              <w:jc w:val="center"/>
              <w:rPr>
                <w:b/>
              </w:rPr>
            </w:pPr>
            <w:r w:rsidRPr="004C7FE3">
              <w:rPr>
                <w:b/>
              </w:rPr>
              <w:t>Node (t)</w:t>
            </w:r>
          </w:p>
        </w:tc>
        <w:tc>
          <w:tcPr>
            <w:tcW w:w="2575" w:type="dxa"/>
          </w:tcPr>
          <w:p w14:paraId="5F07C3F7" w14:textId="77777777" w:rsidR="008C6EBB" w:rsidRPr="004C7FE3" w:rsidRDefault="008C6EBB" w:rsidP="00991A78">
            <w:pPr>
              <w:spacing w:line="360" w:lineRule="auto"/>
              <w:jc w:val="center"/>
              <w:rPr>
                <w:b/>
              </w:rPr>
            </w:pPr>
            <w:r w:rsidRPr="004C7FE3">
              <w:rPr>
                <w:b/>
              </w:rPr>
              <w:t>Joint Outcome</w:t>
            </w:r>
          </w:p>
        </w:tc>
        <w:tc>
          <w:tcPr>
            <w:tcW w:w="1279" w:type="dxa"/>
          </w:tcPr>
          <w:p w14:paraId="47F5D0E4" w14:textId="77777777" w:rsidR="008C6EBB" w:rsidRPr="004C7FE3" w:rsidRDefault="008C6EBB" w:rsidP="00991A78">
            <w:pPr>
              <w:spacing w:line="360" w:lineRule="auto"/>
              <w:jc w:val="center"/>
              <w:rPr>
                <w:b/>
              </w:rPr>
            </w:pPr>
            <w:r w:rsidRPr="004C7FE3">
              <w:rPr>
                <w:b/>
              </w:rPr>
              <w:t>MP</w:t>
            </w:r>
            <w:r>
              <w:rPr>
                <w:b/>
                <w:vertAlign w:val="subscript"/>
              </w:rPr>
              <w:t>t</w:t>
            </w:r>
          </w:p>
        </w:tc>
        <w:tc>
          <w:tcPr>
            <w:tcW w:w="2927" w:type="dxa"/>
          </w:tcPr>
          <w:p w14:paraId="3C5BA5D4" w14:textId="77777777" w:rsidR="008C6EBB" w:rsidRPr="004C7FE3" w:rsidRDefault="008C6EBB" w:rsidP="00991A78">
            <w:pPr>
              <w:spacing w:line="360" w:lineRule="auto"/>
              <w:jc w:val="center"/>
              <w:rPr>
                <w:b/>
              </w:rPr>
            </w:pPr>
            <w:r w:rsidRPr="004C7FE3">
              <w:rPr>
                <w:b/>
              </w:rPr>
              <w:t>Distributive Share</w:t>
            </w:r>
          </w:p>
        </w:tc>
      </w:tr>
      <w:tr w:rsidR="008C6EBB" w:rsidRPr="004C7FE3" w14:paraId="13F66052" w14:textId="77777777" w:rsidTr="00991A78">
        <w:trPr>
          <w:trHeight w:val="351"/>
        </w:trPr>
        <w:tc>
          <w:tcPr>
            <w:tcW w:w="1738" w:type="dxa"/>
          </w:tcPr>
          <w:p w14:paraId="3E103F19" w14:textId="77777777" w:rsidR="008C6EBB" w:rsidRPr="004C7FE3" w:rsidRDefault="008C6EBB" w:rsidP="00991A78">
            <w:pPr>
              <w:spacing w:line="360" w:lineRule="auto"/>
              <w:jc w:val="center"/>
            </w:pPr>
            <w:r w:rsidRPr="004C7FE3">
              <w:t>0</w:t>
            </w:r>
          </w:p>
        </w:tc>
        <w:tc>
          <w:tcPr>
            <w:tcW w:w="2575" w:type="dxa"/>
          </w:tcPr>
          <w:p w14:paraId="10517960" w14:textId="77777777" w:rsidR="008C6EBB" w:rsidRPr="004C7FE3" w:rsidRDefault="008C6EBB" w:rsidP="00991A78">
            <w:pPr>
              <w:spacing w:line="360" w:lineRule="auto"/>
              <w:jc w:val="center"/>
            </w:pPr>
            <w:r w:rsidRPr="004C7FE3">
              <w:t>100</w:t>
            </w:r>
          </w:p>
        </w:tc>
        <w:tc>
          <w:tcPr>
            <w:tcW w:w="1279" w:type="dxa"/>
          </w:tcPr>
          <w:p w14:paraId="20AA22CE" w14:textId="77777777" w:rsidR="008C6EBB" w:rsidRPr="004C7FE3" w:rsidRDefault="008C6EBB" w:rsidP="00991A78">
            <w:pPr>
              <w:spacing w:line="360" w:lineRule="auto"/>
              <w:jc w:val="center"/>
            </w:pPr>
            <w:r w:rsidRPr="004C7FE3">
              <w:t>-</w:t>
            </w:r>
          </w:p>
        </w:tc>
        <w:tc>
          <w:tcPr>
            <w:tcW w:w="2927" w:type="dxa"/>
          </w:tcPr>
          <w:p w14:paraId="3A0604E4" w14:textId="77777777" w:rsidR="008C6EBB" w:rsidRPr="004C7FE3" w:rsidRDefault="008C6EBB" w:rsidP="00991A78">
            <w:pPr>
              <w:spacing w:line="360" w:lineRule="auto"/>
              <w:jc w:val="center"/>
            </w:pPr>
            <w:r>
              <w:t>50% - 50%</w:t>
            </w:r>
          </w:p>
        </w:tc>
      </w:tr>
      <w:tr w:rsidR="008C6EBB" w:rsidRPr="004C7FE3" w14:paraId="5E8E4EB8" w14:textId="77777777" w:rsidTr="00991A78">
        <w:trPr>
          <w:trHeight w:val="351"/>
        </w:trPr>
        <w:tc>
          <w:tcPr>
            <w:tcW w:w="1738" w:type="dxa"/>
          </w:tcPr>
          <w:p w14:paraId="6DD9D3D2" w14:textId="77777777" w:rsidR="008C6EBB" w:rsidRPr="004C7FE3" w:rsidRDefault="008C6EBB" w:rsidP="00991A78">
            <w:pPr>
              <w:spacing w:line="360" w:lineRule="auto"/>
              <w:jc w:val="center"/>
            </w:pPr>
            <w:r w:rsidRPr="004C7FE3">
              <w:t>1</w:t>
            </w:r>
          </w:p>
        </w:tc>
        <w:tc>
          <w:tcPr>
            <w:tcW w:w="2575" w:type="dxa"/>
          </w:tcPr>
          <w:p w14:paraId="58A01BAB" w14:textId="77777777" w:rsidR="008C6EBB" w:rsidRPr="004C7FE3" w:rsidRDefault="008C6EBB" w:rsidP="00991A78">
            <w:pPr>
              <w:spacing w:line="360" w:lineRule="auto"/>
              <w:jc w:val="center"/>
            </w:pPr>
            <w:r w:rsidRPr="004C7FE3">
              <w:t>120</w:t>
            </w:r>
          </w:p>
        </w:tc>
        <w:tc>
          <w:tcPr>
            <w:tcW w:w="1279" w:type="dxa"/>
          </w:tcPr>
          <w:p w14:paraId="11525D0B" w14:textId="77777777" w:rsidR="008C6EBB" w:rsidRPr="004C7FE3" w:rsidRDefault="008C6EBB" w:rsidP="00991A78">
            <w:pPr>
              <w:spacing w:line="360" w:lineRule="auto"/>
              <w:jc w:val="center"/>
            </w:pPr>
            <w:r w:rsidRPr="004C7FE3">
              <w:t>20</w:t>
            </w:r>
          </w:p>
        </w:tc>
        <w:tc>
          <w:tcPr>
            <w:tcW w:w="2927" w:type="dxa"/>
          </w:tcPr>
          <w:p w14:paraId="1FC83462" w14:textId="77777777" w:rsidR="008C6EBB" w:rsidRPr="004C7FE3" w:rsidRDefault="008C6EBB" w:rsidP="00991A78">
            <w:pPr>
              <w:spacing w:line="360" w:lineRule="auto"/>
              <w:jc w:val="center"/>
            </w:pPr>
            <w:r w:rsidRPr="004C7FE3">
              <w:t>70% - 30%</w:t>
            </w:r>
          </w:p>
        </w:tc>
      </w:tr>
      <w:tr w:rsidR="008C6EBB" w:rsidRPr="004C7FE3" w14:paraId="1FA2DAB9" w14:textId="77777777" w:rsidTr="00991A78">
        <w:trPr>
          <w:trHeight w:val="374"/>
        </w:trPr>
        <w:tc>
          <w:tcPr>
            <w:tcW w:w="1738" w:type="dxa"/>
          </w:tcPr>
          <w:p w14:paraId="146ECEC0" w14:textId="77777777" w:rsidR="008C6EBB" w:rsidRPr="004C7FE3" w:rsidRDefault="008C6EBB" w:rsidP="00991A78">
            <w:pPr>
              <w:spacing w:line="360" w:lineRule="auto"/>
              <w:jc w:val="center"/>
            </w:pPr>
            <w:r w:rsidRPr="004C7FE3">
              <w:t>2</w:t>
            </w:r>
          </w:p>
        </w:tc>
        <w:tc>
          <w:tcPr>
            <w:tcW w:w="2575" w:type="dxa"/>
          </w:tcPr>
          <w:p w14:paraId="79FE506C" w14:textId="77777777" w:rsidR="008C6EBB" w:rsidRPr="004C7FE3" w:rsidRDefault="008C6EBB" w:rsidP="00991A78">
            <w:pPr>
              <w:spacing w:line="360" w:lineRule="auto"/>
              <w:jc w:val="center"/>
            </w:pPr>
            <w:r w:rsidRPr="004C7FE3">
              <w:t>150</w:t>
            </w:r>
          </w:p>
        </w:tc>
        <w:tc>
          <w:tcPr>
            <w:tcW w:w="1279" w:type="dxa"/>
          </w:tcPr>
          <w:p w14:paraId="2C6033AD" w14:textId="77777777" w:rsidR="008C6EBB" w:rsidRPr="004C7FE3" w:rsidRDefault="008C6EBB" w:rsidP="00991A78">
            <w:pPr>
              <w:spacing w:line="360" w:lineRule="auto"/>
              <w:jc w:val="center"/>
            </w:pPr>
            <w:r w:rsidRPr="004C7FE3">
              <w:t>30</w:t>
            </w:r>
          </w:p>
        </w:tc>
        <w:tc>
          <w:tcPr>
            <w:tcW w:w="2927" w:type="dxa"/>
          </w:tcPr>
          <w:p w14:paraId="01AB31D1" w14:textId="77777777" w:rsidR="008C6EBB" w:rsidRPr="004C7FE3" w:rsidRDefault="008C6EBB" w:rsidP="00991A78">
            <w:pPr>
              <w:spacing w:line="360" w:lineRule="auto"/>
              <w:jc w:val="center"/>
            </w:pPr>
            <w:r w:rsidRPr="004C7FE3">
              <w:t>65% - 35%</w:t>
            </w:r>
          </w:p>
        </w:tc>
      </w:tr>
      <w:tr w:rsidR="008C6EBB" w:rsidRPr="004C7FE3" w14:paraId="3B79933A" w14:textId="77777777" w:rsidTr="00991A78">
        <w:trPr>
          <w:trHeight w:val="351"/>
        </w:trPr>
        <w:tc>
          <w:tcPr>
            <w:tcW w:w="1738" w:type="dxa"/>
          </w:tcPr>
          <w:p w14:paraId="45AD9CBD" w14:textId="77777777" w:rsidR="008C6EBB" w:rsidRPr="004C7FE3" w:rsidRDefault="008C6EBB" w:rsidP="00991A78">
            <w:pPr>
              <w:spacing w:line="360" w:lineRule="auto"/>
              <w:jc w:val="center"/>
            </w:pPr>
            <w:r w:rsidRPr="004C7FE3">
              <w:t>3</w:t>
            </w:r>
          </w:p>
        </w:tc>
        <w:tc>
          <w:tcPr>
            <w:tcW w:w="2575" w:type="dxa"/>
          </w:tcPr>
          <w:p w14:paraId="3062CB9D" w14:textId="77777777" w:rsidR="008C6EBB" w:rsidRPr="004C7FE3" w:rsidRDefault="008C6EBB" w:rsidP="00991A78">
            <w:pPr>
              <w:spacing w:line="360" w:lineRule="auto"/>
              <w:jc w:val="center"/>
            </w:pPr>
            <w:r w:rsidRPr="004C7FE3">
              <w:t>200</w:t>
            </w:r>
          </w:p>
        </w:tc>
        <w:tc>
          <w:tcPr>
            <w:tcW w:w="1279" w:type="dxa"/>
          </w:tcPr>
          <w:p w14:paraId="592A0E6A" w14:textId="77777777" w:rsidR="008C6EBB" w:rsidRPr="004C7FE3" w:rsidRDefault="008C6EBB" w:rsidP="00991A78">
            <w:pPr>
              <w:spacing w:line="360" w:lineRule="auto"/>
              <w:jc w:val="center"/>
            </w:pPr>
            <w:r w:rsidRPr="004C7FE3">
              <w:t>50</w:t>
            </w:r>
          </w:p>
        </w:tc>
        <w:tc>
          <w:tcPr>
            <w:tcW w:w="2927" w:type="dxa"/>
          </w:tcPr>
          <w:p w14:paraId="3D77E42E" w14:textId="77777777" w:rsidR="008C6EBB" w:rsidRPr="004C7FE3" w:rsidRDefault="008C6EBB" w:rsidP="00991A78">
            <w:pPr>
              <w:spacing w:line="360" w:lineRule="auto"/>
              <w:jc w:val="center"/>
            </w:pPr>
            <w:r w:rsidRPr="004C7FE3">
              <w:t>60% - 40%</w:t>
            </w:r>
          </w:p>
        </w:tc>
      </w:tr>
      <w:tr w:rsidR="008C6EBB" w:rsidRPr="004C7FE3" w14:paraId="28F687B3" w14:textId="77777777" w:rsidTr="00991A78">
        <w:trPr>
          <w:trHeight w:val="351"/>
        </w:trPr>
        <w:tc>
          <w:tcPr>
            <w:tcW w:w="1738" w:type="dxa"/>
          </w:tcPr>
          <w:p w14:paraId="4211DBBB" w14:textId="77777777" w:rsidR="008C6EBB" w:rsidRPr="004C7FE3" w:rsidRDefault="008C6EBB" w:rsidP="00991A78">
            <w:pPr>
              <w:spacing w:line="360" w:lineRule="auto"/>
              <w:jc w:val="center"/>
            </w:pPr>
            <w:r w:rsidRPr="004C7FE3">
              <w:t>4</w:t>
            </w:r>
          </w:p>
        </w:tc>
        <w:tc>
          <w:tcPr>
            <w:tcW w:w="2575" w:type="dxa"/>
          </w:tcPr>
          <w:p w14:paraId="42276F99" w14:textId="77777777" w:rsidR="008C6EBB" w:rsidRPr="004C7FE3" w:rsidRDefault="008C6EBB" w:rsidP="00991A78">
            <w:pPr>
              <w:spacing w:line="360" w:lineRule="auto"/>
              <w:jc w:val="center"/>
            </w:pPr>
            <w:r w:rsidRPr="004C7FE3">
              <w:t>250</w:t>
            </w:r>
          </w:p>
        </w:tc>
        <w:tc>
          <w:tcPr>
            <w:tcW w:w="1279" w:type="dxa"/>
          </w:tcPr>
          <w:p w14:paraId="7DF1122D" w14:textId="77777777" w:rsidR="008C6EBB" w:rsidRPr="004C7FE3" w:rsidRDefault="008C6EBB" w:rsidP="00991A78">
            <w:pPr>
              <w:spacing w:line="360" w:lineRule="auto"/>
              <w:jc w:val="center"/>
            </w:pPr>
            <w:r w:rsidRPr="004C7FE3">
              <w:t>50</w:t>
            </w:r>
          </w:p>
        </w:tc>
        <w:tc>
          <w:tcPr>
            <w:tcW w:w="2927" w:type="dxa"/>
          </w:tcPr>
          <w:p w14:paraId="24534122" w14:textId="77777777" w:rsidR="008C6EBB" w:rsidRPr="004C7FE3" w:rsidRDefault="008C6EBB" w:rsidP="00991A78">
            <w:pPr>
              <w:spacing w:line="360" w:lineRule="auto"/>
              <w:jc w:val="center"/>
            </w:pPr>
            <w:r w:rsidRPr="004C7FE3">
              <w:t>55% - 45%</w:t>
            </w:r>
          </w:p>
        </w:tc>
      </w:tr>
      <w:tr w:rsidR="008C6EBB" w:rsidRPr="004C7FE3" w14:paraId="57225EB9" w14:textId="77777777" w:rsidTr="00991A78">
        <w:trPr>
          <w:trHeight w:val="351"/>
        </w:trPr>
        <w:tc>
          <w:tcPr>
            <w:tcW w:w="1738" w:type="dxa"/>
          </w:tcPr>
          <w:p w14:paraId="14C0A968" w14:textId="77777777" w:rsidR="008C6EBB" w:rsidRPr="004C7FE3" w:rsidRDefault="008C6EBB" w:rsidP="00991A78">
            <w:pPr>
              <w:spacing w:line="360" w:lineRule="auto"/>
              <w:jc w:val="center"/>
            </w:pPr>
            <w:r w:rsidRPr="004C7FE3">
              <w:t>5</w:t>
            </w:r>
          </w:p>
        </w:tc>
        <w:tc>
          <w:tcPr>
            <w:tcW w:w="2575" w:type="dxa"/>
          </w:tcPr>
          <w:p w14:paraId="3E2FCA48" w14:textId="77777777" w:rsidR="008C6EBB" w:rsidRPr="004C7FE3" w:rsidRDefault="008C6EBB" w:rsidP="00991A78">
            <w:pPr>
              <w:spacing w:line="360" w:lineRule="auto"/>
              <w:jc w:val="center"/>
            </w:pPr>
            <w:r w:rsidRPr="004C7FE3">
              <w:t>270</w:t>
            </w:r>
          </w:p>
        </w:tc>
        <w:tc>
          <w:tcPr>
            <w:tcW w:w="1279" w:type="dxa"/>
          </w:tcPr>
          <w:p w14:paraId="4A6FFB48" w14:textId="77777777" w:rsidR="008C6EBB" w:rsidRPr="004C7FE3" w:rsidRDefault="008C6EBB" w:rsidP="00991A78">
            <w:pPr>
              <w:spacing w:line="360" w:lineRule="auto"/>
              <w:jc w:val="center"/>
            </w:pPr>
            <w:r w:rsidRPr="004C7FE3">
              <w:t>20</w:t>
            </w:r>
          </w:p>
        </w:tc>
        <w:tc>
          <w:tcPr>
            <w:tcW w:w="2927" w:type="dxa"/>
          </w:tcPr>
          <w:p w14:paraId="4507CBCD" w14:textId="77777777" w:rsidR="008C6EBB" w:rsidRPr="004C7FE3" w:rsidRDefault="008C6EBB" w:rsidP="00991A78">
            <w:pPr>
              <w:spacing w:line="360" w:lineRule="auto"/>
              <w:jc w:val="center"/>
            </w:pPr>
            <w:r w:rsidRPr="004C7FE3">
              <w:t>50% - 50%</w:t>
            </w:r>
          </w:p>
        </w:tc>
      </w:tr>
      <w:tr w:rsidR="008C6EBB" w:rsidRPr="004C7FE3" w14:paraId="6FBBA443" w14:textId="77777777" w:rsidTr="00991A78">
        <w:trPr>
          <w:trHeight w:val="351"/>
        </w:trPr>
        <w:tc>
          <w:tcPr>
            <w:tcW w:w="1738" w:type="dxa"/>
          </w:tcPr>
          <w:p w14:paraId="5C98C495" w14:textId="77777777" w:rsidR="008C6EBB" w:rsidRPr="004C7FE3" w:rsidRDefault="008C6EBB" w:rsidP="00991A78">
            <w:pPr>
              <w:spacing w:line="360" w:lineRule="auto"/>
              <w:jc w:val="center"/>
            </w:pPr>
            <w:r w:rsidRPr="004C7FE3">
              <w:t>6</w:t>
            </w:r>
          </w:p>
        </w:tc>
        <w:tc>
          <w:tcPr>
            <w:tcW w:w="2575" w:type="dxa"/>
          </w:tcPr>
          <w:p w14:paraId="6BBA7F1D" w14:textId="77777777" w:rsidR="008C6EBB" w:rsidRPr="004C7FE3" w:rsidRDefault="008C6EBB" w:rsidP="00991A78">
            <w:pPr>
              <w:spacing w:line="360" w:lineRule="auto"/>
              <w:jc w:val="center"/>
            </w:pPr>
            <w:r w:rsidRPr="004C7FE3">
              <w:t>265</w:t>
            </w:r>
          </w:p>
        </w:tc>
        <w:tc>
          <w:tcPr>
            <w:tcW w:w="1279" w:type="dxa"/>
          </w:tcPr>
          <w:p w14:paraId="6CAB6675" w14:textId="77777777" w:rsidR="008C6EBB" w:rsidRPr="004C7FE3" w:rsidRDefault="008C6EBB" w:rsidP="00991A78">
            <w:pPr>
              <w:spacing w:line="360" w:lineRule="auto"/>
              <w:jc w:val="center"/>
            </w:pPr>
            <w:r w:rsidRPr="004C7FE3">
              <w:t>-5</w:t>
            </w:r>
          </w:p>
        </w:tc>
        <w:tc>
          <w:tcPr>
            <w:tcW w:w="2927" w:type="dxa"/>
          </w:tcPr>
          <w:p w14:paraId="06867824" w14:textId="77777777" w:rsidR="008C6EBB" w:rsidRPr="004C7FE3" w:rsidRDefault="008C6EBB" w:rsidP="00991A78">
            <w:pPr>
              <w:spacing w:line="360" w:lineRule="auto"/>
              <w:jc w:val="center"/>
            </w:pPr>
            <w:r w:rsidRPr="004C7FE3">
              <w:t>60% - 40%</w:t>
            </w:r>
          </w:p>
        </w:tc>
      </w:tr>
      <w:tr w:rsidR="008C6EBB" w:rsidRPr="004C7FE3" w14:paraId="576633F4" w14:textId="77777777" w:rsidTr="00991A78">
        <w:trPr>
          <w:trHeight w:val="351"/>
        </w:trPr>
        <w:tc>
          <w:tcPr>
            <w:tcW w:w="1738" w:type="dxa"/>
          </w:tcPr>
          <w:p w14:paraId="0C999E78" w14:textId="77777777" w:rsidR="008C6EBB" w:rsidRPr="004C7FE3" w:rsidRDefault="008C6EBB" w:rsidP="00991A78">
            <w:pPr>
              <w:spacing w:line="360" w:lineRule="auto"/>
              <w:jc w:val="center"/>
            </w:pPr>
            <w:r w:rsidRPr="004C7FE3">
              <w:t>7</w:t>
            </w:r>
          </w:p>
        </w:tc>
        <w:tc>
          <w:tcPr>
            <w:tcW w:w="2575" w:type="dxa"/>
          </w:tcPr>
          <w:p w14:paraId="7C612C72" w14:textId="77777777" w:rsidR="008C6EBB" w:rsidRPr="004C7FE3" w:rsidRDefault="008C6EBB" w:rsidP="00991A78">
            <w:pPr>
              <w:spacing w:line="360" w:lineRule="auto"/>
              <w:jc w:val="center"/>
            </w:pPr>
            <w:r w:rsidRPr="004C7FE3">
              <w:t>250</w:t>
            </w:r>
          </w:p>
        </w:tc>
        <w:tc>
          <w:tcPr>
            <w:tcW w:w="1279" w:type="dxa"/>
          </w:tcPr>
          <w:p w14:paraId="36F2FCDD" w14:textId="77777777" w:rsidR="008C6EBB" w:rsidRPr="004C7FE3" w:rsidRDefault="008C6EBB" w:rsidP="00991A78">
            <w:pPr>
              <w:spacing w:line="360" w:lineRule="auto"/>
              <w:jc w:val="center"/>
            </w:pPr>
            <w:r w:rsidRPr="004C7FE3">
              <w:t>-15</w:t>
            </w:r>
          </w:p>
        </w:tc>
        <w:tc>
          <w:tcPr>
            <w:tcW w:w="2927" w:type="dxa"/>
          </w:tcPr>
          <w:p w14:paraId="22DB700C" w14:textId="77777777" w:rsidR="008C6EBB" w:rsidRPr="004C7FE3" w:rsidRDefault="008C6EBB" w:rsidP="00991A78">
            <w:pPr>
              <w:spacing w:line="360" w:lineRule="auto"/>
              <w:jc w:val="center"/>
            </w:pPr>
            <w:r w:rsidRPr="004C7FE3">
              <w:t>70% - 30%</w:t>
            </w:r>
          </w:p>
        </w:tc>
      </w:tr>
      <w:tr w:rsidR="008C6EBB" w:rsidRPr="004C7FE3" w14:paraId="3986A5D9" w14:textId="77777777" w:rsidTr="00991A78">
        <w:trPr>
          <w:trHeight w:val="351"/>
        </w:trPr>
        <w:tc>
          <w:tcPr>
            <w:tcW w:w="1738" w:type="dxa"/>
          </w:tcPr>
          <w:p w14:paraId="06E40F4E" w14:textId="77777777" w:rsidR="008C6EBB" w:rsidRPr="004C7FE3" w:rsidRDefault="008C6EBB" w:rsidP="00991A78">
            <w:pPr>
              <w:spacing w:line="360" w:lineRule="auto"/>
              <w:jc w:val="center"/>
            </w:pPr>
            <w:r w:rsidRPr="004C7FE3">
              <w:t>8</w:t>
            </w:r>
          </w:p>
        </w:tc>
        <w:tc>
          <w:tcPr>
            <w:tcW w:w="2575" w:type="dxa"/>
          </w:tcPr>
          <w:p w14:paraId="762BD9E1" w14:textId="77777777" w:rsidR="008C6EBB" w:rsidRPr="004C7FE3" w:rsidRDefault="008C6EBB" w:rsidP="00991A78">
            <w:pPr>
              <w:spacing w:line="360" w:lineRule="auto"/>
              <w:jc w:val="center"/>
            </w:pPr>
            <w:r w:rsidRPr="004C7FE3">
              <w:t>225</w:t>
            </w:r>
          </w:p>
        </w:tc>
        <w:tc>
          <w:tcPr>
            <w:tcW w:w="1279" w:type="dxa"/>
          </w:tcPr>
          <w:p w14:paraId="0B5295EF" w14:textId="77777777" w:rsidR="008C6EBB" w:rsidRPr="004C7FE3" w:rsidRDefault="008C6EBB" w:rsidP="00991A78">
            <w:pPr>
              <w:spacing w:line="360" w:lineRule="auto"/>
              <w:jc w:val="center"/>
            </w:pPr>
            <w:r w:rsidRPr="004C7FE3">
              <w:t>-25</w:t>
            </w:r>
          </w:p>
        </w:tc>
        <w:tc>
          <w:tcPr>
            <w:tcW w:w="2927" w:type="dxa"/>
          </w:tcPr>
          <w:p w14:paraId="7A4EBBC6" w14:textId="77777777" w:rsidR="008C6EBB" w:rsidRPr="004C7FE3" w:rsidRDefault="008C6EBB" w:rsidP="00991A78">
            <w:pPr>
              <w:spacing w:line="360" w:lineRule="auto"/>
              <w:jc w:val="center"/>
            </w:pPr>
            <w:r w:rsidRPr="004C7FE3">
              <w:t>80% - 20%</w:t>
            </w:r>
          </w:p>
        </w:tc>
      </w:tr>
    </w:tbl>
    <w:p w14:paraId="7877DB4F" w14:textId="77777777" w:rsidR="008C6EBB" w:rsidRDefault="008C6EBB" w:rsidP="00EE0446">
      <w:pPr>
        <w:spacing w:line="360" w:lineRule="auto"/>
        <w:rPr>
          <w:rFonts w:eastAsiaTheme="minorEastAsia"/>
          <w:b/>
          <w:shd w:val="clear" w:color="auto" w:fill="FFFFFF"/>
        </w:rPr>
      </w:pPr>
    </w:p>
    <w:p w14:paraId="32CA3F7F" w14:textId="4175EB76" w:rsidR="00EE0446" w:rsidRPr="00AB381F" w:rsidRDefault="00EE0446" w:rsidP="00EE0446">
      <w:pPr>
        <w:spacing w:line="360" w:lineRule="auto"/>
        <w:rPr>
          <w:rFonts w:eastAsiaTheme="minorEastAsia"/>
          <w:shd w:val="clear" w:color="auto" w:fill="FFFFFF"/>
        </w:rPr>
      </w:pPr>
      <w:r w:rsidRPr="003674FB">
        <w:rPr>
          <w:rFonts w:eastAsiaTheme="minorEastAsia"/>
          <w:color w:val="000000" w:themeColor="text1"/>
        </w:rPr>
        <w:t>The production function underlines the significance of timing in settlements. Cases that settle too early may forego joint-gains</w:t>
      </w:r>
      <w:r>
        <w:rPr>
          <w:rFonts w:eastAsiaTheme="minorEastAsia"/>
          <w:color w:val="000000" w:themeColor="text1"/>
        </w:rPr>
        <w:t>,</w:t>
      </w:r>
      <w:r w:rsidRPr="003674FB">
        <w:rPr>
          <w:rFonts w:eastAsiaTheme="minorEastAsia"/>
          <w:color w:val="000000" w:themeColor="text1"/>
        </w:rPr>
        <w:t xml:space="preserve"> while settlements that occur </w:t>
      </w:r>
      <w:r w:rsidRPr="00FB51DE">
        <w:rPr>
          <w:rFonts w:eastAsiaTheme="minorEastAsia"/>
          <w:color w:val="000000" w:themeColor="text1"/>
        </w:rPr>
        <w:t xml:space="preserve">too late will be needlessly costly for the </w:t>
      </w:r>
      <w:r w:rsidRPr="00B07B0C">
        <w:rPr>
          <w:rFonts w:eastAsiaTheme="minorEastAsia"/>
          <w:color w:val="000000" w:themeColor="text1"/>
        </w:rPr>
        <w:t>clients involved</w:t>
      </w:r>
      <w:r w:rsidRPr="00C97FAF">
        <w:rPr>
          <w:rStyle w:val="FootnoteReference"/>
          <w:rFonts w:eastAsiaTheme="minorEastAsia"/>
          <w:color w:val="000000" w:themeColor="text1"/>
        </w:rPr>
        <w:footnoteReference w:id="26"/>
      </w:r>
      <w:r w:rsidRPr="00C97FAF">
        <w:rPr>
          <w:rFonts w:eastAsiaTheme="minorEastAsia"/>
          <w:color w:val="000000" w:themeColor="text1"/>
        </w:rPr>
        <w:t xml:space="preserve"> (Wistrich and Rachlinski, 2013). Although</w:t>
      </w:r>
      <w:r>
        <w:rPr>
          <w:rFonts w:eastAsiaTheme="minorEastAsia"/>
          <w:color w:val="000000" w:themeColor="text1"/>
        </w:rPr>
        <w:t xml:space="preserve"> not developed further here, delays are also resource-straining and costly for society given the increasing resources that the court will expend in managing and preparing the case, to prepare for the possibility of a trial (Wistrich and Rachlinski, 2013). Similarly, clients may need to maintain a </w:t>
      </w:r>
      <w:r w:rsidRPr="00EA15F3">
        <w:rPr>
          <w:rFonts w:eastAsiaTheme="minorEastAsia"/>
          <w:color w:val="000000" w:themeColor="text1"/>
        </w:rPr>
        <w:t>relationship following divorce given their shared custodial responsibilities (Maccoby and Mnookin, 1992) and thus, exploitation by one-side may adversely affect a client’s long-term interests.</w:t>
      </w:r>
      <w:r w:rsidRPr="00EA15F3">
        <w:rPr>
          <w:rStyle w:val="FootnoteReference"/>
          <w:rFonts w:eastAsiaTheme="minorEastAsia"/>
          <w:color w:val="000000" w:themeColor="text1"/>
        </w:rPr>
        <w:footnoteReference w:id="27"/>
      </w:r>
      <w:r w:rsidRPr="00EA15F3">
        <w:rPr>
          <w:rFonts w:eastAsiaTheme="minorEastAsia"/>
          <w:color w:val="000000" w:themeColor="text1"/>
        </w:rPr>
        <w:t xml:space="preserve"> Distributive shares are also</w:t>
      </w:r>
      <w:r w:rsidRPr="003674FB">
        <w:rPr>
          <w:rFonts w:eastAsiaTheme="minorEastAsia"/>
          <w:color w:val="000000" w:themeColor="text1"/>
        </w:rPr>
        <w:t xml:space="preserve"> assumed to become more symmetric as value is created and more asymmetric as value is depleted. This growing asymmetry captures the propose</w:t>
      </w:r>
      <w:r>
        <w:rPr>
          <w:rFonts w:eastAsiaTheme="minorEastAsia"/>
          <w:color w:val="000000" w:themeColor="text1"/>
        </w:rPr>
        <w:t xml:space="preserve">d heightened transaction costs associated with securing </w:t>
      </w:r>
      <w:r w:rsidRPr="003674FB">
        <w:rPr>
          <w:rFonts w:eastAsiaTheme="minorEastAsia"/>
          <w:color w:val="000000" w:themeColor="text1"/>
        </w:rPr>
        <w:t xml:space="preserve">disadvantageous distributive shares following lengthy disputes. Consistent with the outlined production function, </w:t>
      </w:r>
      <w:r w:rsidRPr="003674FB">
        <w:rPr>
          <w:rFonts w:eastAsiaTheme="minorEastAsia"/>
          <w:b/>
          <w:color w:val="000000" w:themeColor="text1"/>
        </w:rPr>
        <w:t xml:space="preserve">Figure </w:t>
      </w:r>
      <w:r>
        <w:rPr>
          <w:rFonts w:eastAsiaTheme="minorEastAsia"/>
          <w:b/>
          <w:color w:val="000000" w:themeColor="text1"/>
        </w:rPr>
        <w:t>3</w:t>
      </w:r>
      <w:r w:rsidRPr="003674FB">
        <w:rPr>
          <w:rFonts w:eastAsiaTheme="minorEastAsia"/>
          <w:color w:val="000000" w:themeColor="text1"/>
        </w:rPr>
        <w:t xml:space="preserve"> illustrates the client’s distributive shares in the </w:t>
      </w:r>
      <w:r w:rsidR="00B8729E">
        <w:rPr>
          <w:rFonts w:eastAsia="Times New Roman"/>
        </w:rPr>
        <w:t>IDBG</w:t>
      </w:r>
      <w:r w:rsidRPr="003674FB">
        <w:rPr>
          <w:rFonts w:eastAsiaTheme="minorEastAsia"/>
          <w:color w:val="000000" w:themeColor="text1"/>
        </w:rPr>
        <w:t>.</w:t>
      </w:r>
      <w:r>
        <w:rPr>
          <w:rStyle w:val="FootnoteReference"/>
          <w:rFonts w:eastAsiaTheme="minorEastAsia"/>
          <w:shd w:val="clear" w:color="auto" w:fill="FFFFFF"/>
        </w:rPr>
        <w:footnoteReference w:id="28"/>
      </w:r>
      <w:r w:rsidRPr="003674FB">
        <w:rPr>
          <w:rFonts w:eastAsiaTheme="minorEastAsia"/>
          <w:color w:val="000000" w:themeColor="text1"/>
        </w:rPr>
        <w:t xml:space="preserve"> </w:t>
      </w:r>
    </w:p>
    <w:p w14:paraId="13F2ACA1" w14:textId="77777777" w:rsidR="00EE0446" w:rsidRPr="00A11A8A" w:rsidRDefault="00EE0446" w:rsidP="00EE0446">
      <w:pPr>
        <w:spacing w:line="360" w:lineRule="auto"/>
        <w:rPr>
          <w:rFonts w:eastAsiaTheme="minorEastAsia"/>
          <w:color w:val="FF0000"/>
        </w:rPr>
      </w:pPr>
    </w:p>
    <w:p w14:paraId="5FD54685" w14:textId="00DD96E1" w:rsidR="00EE0446" w:rsidRPr="00AF4D32" w:rsidRDefault="00EE0446" w:rsidP="00EE0446">
      <w:pPr>
        <w:spacing w:line="360" w:lineRule="auto"/>
        <w:rPr>
          <w:b/>
          <w:color w:val="000000" w:themeColor="text1"/>
          <w:u w:val="single"/>
        </w:rPr>
      </w:pPr>
      <w:r w:rsidRPr="004C7FE3">
        <w:rPr>
          <w:noProof/>
        </w:rPr>
        <w:drawing>
          <wp:anchor distT="0" distB="0" distL="114300" distR="114300" simplePos="0" relativeHeight="251662336" behindDoc="0" locked="0" layoutInCell="1" allowOverlap="1" wp14:anchorId="71F80AD0" wp14:editId="53C3C8E5">
            <wp:simplePos x="0" y="0"/>
            <wp:positionH relativeFrom="column">
              <wp:posOffset>-515620</wp:posOffset>
            </wp:positionH>
            <wp:positionV relativeFrom="paragraph">
              <wp:posOffset>353060</wp:posOffset>
            </wp:positionV>
            <wp:extent cx="6864350" cy="195834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b="22245"/>
                    <a:stretch/>
                  </pic:blipFill>
                  <pic:spPr bwMode="auto">
                    <a:xfrm>
                      <a:off x="0" y="0"/>
                      <a:ext cx="6864350" cy="195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7FE3">
        <w:rPr>
          <w:b/>
          <w:color w:val="000000" w:themeColor="text1"/>
          <w:u w:val="single"/>
        </w:rPr>
        <w:t xml:space="preserve">Figure 3: </w:t>
      </w:r>
      <w:r w:rsidR="00B8729E">
        <w:rPr>
          <w:b/>
          <w:color w:val="000000" w:themeColor="text1"/>
          <w:u w:val="single"/>
        </w:rPr>
        <w:t>IDBG</w:t>
      </w:r>
      <w:r w:rsidRPr="004C7FE3">
        <w:rPr>
          <w:b/>
          <w:color w:val="000000" w:themeColor="text1"/>
          <w:u w:val="single"/>
        </w:rPr>
        <w:t xml:space="preserve"> – Clients’ Distributive Shares</w:t>
      </w:r>
    </w:p>
    <w:p w14:paraId="13FF58B3" w14:textId="77777777" w:rsidR="00EE0446" w:rsidRDefault="00EE0446" w:rsidP="00EE0446">
      <w:pPr>
        <w:spacing w:line="360" w:lineRule="auto"/>
        <w:rPr>
          <w:rFonts w:eastAsiaTheme="minorEastAsia"/>
          <w:b/>
          <w:shd w:val="clear" w:color="auto" w:fill="FFFFFF"/>
        </w:rPr>
      </w:pPr>
    </w:p>
    <w:p w14:paraId="45FA9295" w14:textId="24117D37" w:rsidR="00EE0446" w:rsidRPr="00CC342A" w:rsidRDefault="00FF7776" w:rsidP="00CC342A">
      <w:pPr>
        <w:pStyle w:val="ListParagraph"/>
        <w:numPr>
          <w:ilvl w:val="1"/>
          <w:numId w:val="1"/>
        </w:numPr>
        <w:spacing w:line="360" w:lineRule="auto"/>
        <w:rPr>
          <w:rFonts w:eastAsiaTheme="minorEastAsia"/>
          <w:b/>
          <w:shd w:val="clear" w:color="auto" w:fill="FFFFFF"/>
        </w:rPr>
      </w:pPr>
      <w:r>
        <w:rPr>
          <w:rFonts w:eastAsiaTheme="minorEastAsia"/>
          <w:b/>
          <w:shd w:val="clear" w:color="auto" w:fill="FFFFFF"/>
        </w:rPr>
        <w:t>The Lawyers’ F</w:t>
      </w:r>
      <w:r w:rsidR="00EE0446" w:rsidRPr="00CC342A">
        <w:rPr>
          <w:rFonts w:eastAsiaTheme="minorEastAsia"/>
          <w:b/>
          <w:shd w:val="clear" w:color="auto" w:fill="FFFFFF"/>
        </w:rPr>
        <w:t>ee-arrangements</w:t>
      </w:r>
    </w:p>
    <w:p w14:paraId="38D649E0" w14:textId="7A01B8A4" w:rsidR="00EE0446" w:rsidRPr="00A3713D" w:rsidRDefault="00EE0446" w:rsidP="00EE0446">
      <w:pPr>
        <w:spacing w:line="360" w:lineRule="auto"/>
        <w:rPr>
          <w:rFonts w:eastAsiaTheme="minorEastAsia"/>
          <w:b/>
          <w:color w:val="000000" w:themeColor="text1"/>
          <w:shd w:val="clear" w:color="auto" w:fill="FFFFFF"/>
        </w:rPr>
      </w:pPr>
      <w:r w:rsidRPr="004C7FE3">
        <w:rPr>
          <w:rFonts w:eastAsiaTheme="minorEastAsia"/>
          <w:b/>
          <w:shd w:val="clear" w:color="auto" w:fill="FFFFFF"/>
        </w:rPr>
        <w:t>Figure 4</w:t>
      </w:r>
      <w:r w:rsidRPr="004C7FE3">
        <w:rPr>
          <w:rFonts w:eastAsiaTheme="minorEastAsia"/>
          <w:shd w:val="clear" w:color="auto" w:fill="FFFFFF"/>
        </w:rPr>
        <w:t xml:space="preserve"> presents an extension of the game-tree by incorporating the lawyers’ fee-arrangements. This paper focuses on </w:t>
      </w:r>
      <w:r>
        <w:rPr>
          <w:rFonts w:eastAsiaTheme="minorEastAsia"/>
          <w:shd w:val="clear" w:color="auto" w:fill="FFFFFF"/>
        </w:rPr>
        <w:t>hourly-fees</w:t>
      </w:r>
      <w:r w:rsidRPr="004C7FE3">
        <w:rPr>
          <w:rFonts w:eastAsiaTheme="minorEastAsia"/>
          <w:shd w:val="clear" w:color="auto" w:fill="FFFFFF"/>
        </w:rPr>
        <w:t xml:space="preserve"> given that this is the most common form of fee-arrangement among US </w:t>
      </w:r>
      <w:r w:rsidRPr="00414149">
        <w:rPr>
          <w:rFonts w:eastAsiaTheme="minorEastAsia"/>
          <w:shd w:val="clear" w:color="auto" w:fill="FFFFFF"/>
        </w:rPr>
        <w:t xml:space="preserve">divorce </w:t>
      </w:r>
      <w:r w:rsidRPr="00130AF3">
        <w:rPr>
          <w:rFonts w:eastAsiaTheme="minorEastAsia"/>
          <w:color w:val="000000" w:themeColor="text1"/>
          <w:shd w:val="clear" w:color="auto" w:fill="FFFFFF"/>
        </w:rPr>
        <w:t>lawyers (</w:t>
      </w:r>
      <w:r w:rsidR="00CC342A" w:rsidRPr="00130AF3">
        <w:rPr>
          <w:rFonts w:eastAsiaTheme="minorEastAsia"/>
          <w:color w:val="000000" w:themeColor="text1"/>
          <w:shd w:val="clear" w:color="auto" w:fill="FFFFFF"/>
        </w:rPr>
        <w:t xml:space="preserve">Mather and McEwen, 2012; </w:t>
      </w:r>
      <w:r w:rsidRPr="00130AF3">
        <w:rPr>
          <w:rFonts w:eastAsiaTheme="minorEastAsia"/>
          <w:color w:val="000000" w:themeColor="text1"/>
          <w:shd w:val="clear" w:color="auto" w:fill="FFFFFF"/>
        </w:rPr>
        <w:t>Tye</w:t>
      </w:r>
      <w:r w:rsidRPr="00E651D4">
        <w:rPr>
          <w:rFonts w:eastAsiaTheme="minorEastAsia"/>
          <w:color w:val="000000" w:themeColor="text1"/>
          <w:shd w:val="clear" w:color="auto" w:fill="FFFFFF"/>
        </w:rPr>
        <w:t xml:space="preserve"> et al., 2013; </w:t>
      </w:r>
      <w:r w:rsidRPr="00C97FAF">
        <w:rPr>
          <w:rFonts w:eastAsiaTheme="minorEastAsia"/>
          <w:color w:val="000000" w:themeColor="text1"/>
          <w:shd w:val="clear" w:color="auto" w:fill="FFFFFF"/>
        </w:rPr>
        <w:t>Saito, 2020;</w:t>
      </w:r>
      <w:r w:rsidRPr="008F7A8E">
        <w:rPr>
          <w:rFonts w:eastAsiaTheme="minorEastAsia"/>
          <w:color w:val="000000" w:themeColor="text1"/>
          <w:shd w:val="clear" w:color="auto" w:fill="FFFFFF"/>
        </w:rPr>
        <w:t xml:space="preserve"> Chinn, 2020)</w:t>
      </w:r>
      <w:r w:rsidRPr="008F7A8E">
        <w:rPr>
          <w:rStyle w:val="FootnoteReference"/>
          <w:rFonts w:eastAsiaTheme="minorEastAsia"/>
          <w:color w:val="000000" w:themeColor="text1"/>
          <w:shd w:val="clear" w:color="auto" w:fill="FFFFFF"/>
        </w:rPr>
        <w:footnoteReference w:id="29"/>
      </w:r>
      <w:r w:rsidRPr="008F7A8E">
        <w:rPr>
          <w:rFonts w:eastAsiaTheme="minorEastAsia"/>
          <w:color w:val="000000" w:themeColor="text1"/>
          <w:shd w:val="clear" w:color="auto" w:fill="FFFFFF"/>
        </w:rPr>
        <w:t>.</w:t>
      </w:r>
      <w:r w:rsidRPr="00481418">
        <w:rPr>
          <w:rFonts w:eastAsiaTheme="minorEastAsia"/>
          <w:color w:val="000000" w:themeColor="text1"/>
          <w:shd w:val="clear" w:color="auto" w:fill="FFFFFF"/>
        </w:rPr>
        <w:t xml:space="preserve"> </w:t>
      </w:r>
      <w:r>
        <w:rPr>
          <w:rFonts w:eastAsiaTheme="minorEastAsia"/>
          <w:color w:val="000000" w:themeColor="text1"/>
          <w:shd w:val="clear" w:color="auto" w:fill="FFFFFF"/>
        </w:rPr>
        <w:t xml:space="preserve">Furthermore, </w:t>
      </w:r>
      <w:r w:rsidRPr="008C1BC6">
        <w:rPr>
          <w:rFonts w:eastAsiaTheme="minorEastAsia"/>
          <w:color w:val="000000" w:themeColor="text1"/>
          <w:shd w:val="clear" w:color="auto" w:fill="FFFFFF"/>
        </w:rPr>
        <w:t xml:space="preserve">contingent fees have been ruled to be improper in the divorce </w:t>
      </w:r>
      <w:r w:rsidRPr="00DA2021">
        <w:rPr>
          <w:rFonts w:eastAsiaTheme="minorEastAsia"/>
          <w:color w:val="000000" w:themeColor="text1"/>
          <w:shd w:val="clear" w:color="auto" w:fill="FFFFFF"/>
        </w:rPr>
        <w:t xml:space="preserve">domain (Halpern and </w:t>
      </w:r>
      <w:r w:rsidRPr="00D17A4F">
        <w:rPr>
          <w:rFonts w:eastAsiaTheme="minorEastAsia"/>
          <w:color w:val="000000" w:themeColor="text1"/>
          <w:shd w:val="clear" w:color="auto" w:fill="FFFFFF"/>
        </w:rPr>
        <w:t xml:space="preserve">Turnbull, 1983; Metsch-Garcia, 2015). </w:t>
      </w:r>
      <w:r w:rsidRPr="00D17A4F">
        <w:rPr>
          <w:rFonts w:eastAsiaTheme="minorEastAsia"/>
          <w:shd w:val="clear" w:color="auto" w:fill="FFFFFF"/>
        </w:rPr>
        <w:t>Accordingly</w:t>
      </w:r>
      <w:r w:rsidRPr="004C7FE3">
        <w:rPr>
          <w:rFonts w:eastAsiaTheme="minorEastAsia"/>
          <w:shd w:val="clear" w:color="auto" w:fill="FFFFFF"/>
        </w:rPr>
        <w:t>, lawyers are modelled to earn a fixed-sum per node</w:t>
      </w:r>
      <w:r>
        <w:rPr>
          <w:rFonts w:eastAsiaTheme="minorEastAsia"/>
          <w:shd w:val="clear" w:color="auto" w:fill="FFFFFF"/>
        </w:rPr>
        <w:t>.</w:t>
      </w:r>
      <w:r w:rsidRPr="004C7FE3">
        <w:rPr>
          <w:rFonts w:eastAsiaTheme="minorEastAsia"/>
          <w:shd w:val="clear" w:color="auto" w:fill="FFFFFF"/>
        </w:rPr>
        <w:t xml:space="preserve"> </w:t>
      </w:r>
      <w:r>
        <w:rPr>
          <w:rFonts w:eastAsiaTheme="minorEastAsia"/>
          <w:shd w:val="clear" w:color="auto" w:fill="FFFFFF"/>
        </w:rPr>
        <w:t>Analysis extends this formulation to consider how unequal hourly-rates may affect the lawyers’ decision-making.</w:t>
      </w:r>
      <w:r w:rsidR="00A3713D">
        <w:rPr>
          <w:rFonts w:eastAsiaTheme="minorEastAsia"/>
          <w:shd w:val="clear" w:color="auto" w:fill="FFFFFF"/>
        </w:rPr>
        <w:t xml:space="preserve"> For explanatory purposes, lawyers are modelled to earn a fixed 20 points per node, however, the proofs developed in </w:t>
      </w:r>
      <w:r w:rsidR="00FF7776" w:rsidRPr="00FF7776">
        <w:rPr>
          <w:rFonts w:eastAsiaTheme="minorEastAsia"/>
          <w:b/>
          <w:color w:val="000000" w:themeColor="text1"/>
          <w:shd w:val="clear" w:color="auto" w:fill="FFFFFF"/>
        </w:rPr>
        <w:t xml:space="preserve">Section </w:t>
      </w:r>
      <w:r w:rsidR="00A3713D" w:rsidRPr="00FF7776">
        <w:rPr>
          <w:rFonts w:eastAsiaTheme="minorEastAsia"/>
          <w:b/>
          <w:color w:val="000000" w:themeColor="text1"/>
          <w:shd w:val="clear" w:color="auto" w:fill="FFFFFF"/>
        </w:rPr>
        <w:t xml:space="preserve">7 </w:t>
      </w:r>
      <w:r w:rsidR="003B1483">
        <w:rPr>
          <w:rFonts w:eastAsiaTheme="minorEastAsia"/>
          <w:shd w:val="clear" w:color="auto" w:fill="FFFFFF"/>
        </w:rPr>
        <w:t xml:space="preserve">are robust to changes in the lawyers’ pecuniary compensation. </w:t>
      </w:r>
    </w:p>
    <w:p w14:paraId="0FDCF7DC" w14:textId="77777777" w:rsidR="00EE0446" w:rsidRPr="004C7FE3" w:rsidRDefault="00EE0446" w:rsidP="00EE0446">
      <w:pPr>
        <w:spacing w:line="360" w:lineRule="auto"/>
        <w:rPr>
          <w:rFonts w:eastAsiaTheme="minorEastAsia"/>
          <w:shd w:val="clear" w:color="auto" w:fill="FFFFFF"/>
        </w:rPr>
      </w:pPr>
    </w:p>
    <w:p w14:paraId="2B1D7276" w14:textId="0FA0A83E" w:rsidR="00EE0446" w:rsidRPr="004C7FE3" w:rsidRDefault="00EE0446" w:rsidP="00EE0446">
      <w:pPr>
        <w:spacing w:line="360" w:lineRule="auto"/>
        <w:rPr>
          <w:b/>
          <w:u w:val="single"/>
        </w:rPr>
      </w:pPr>
      <w:r w:rsidRPr="004C7FE3">
        <w:rPr>
          <w:noProof/>
        </w:rPr>
        <w:drawing>
          <wp:anchor distT="0" distB="0" distL="114300" distR="114300" simplePos="0" relativeHeight="251663360" behindDoc="0" locked="0" layoutInCell="1" allowOverlap="1" wp14:anchorId="18FED26F" wp14:editId="02DBAC9E">
            <wp:simplePos x="0" y="0"/>
            <wp:positionH relativeFrom="column">
              <wp:posOffset>-183515</wp:posOffset>
            </wp:positionH>
            <wp:positionV relativeFrom="paragraph">
              <wp:posOffset>291465</wp:posOffset>
            </wp:positionV>
            <wp:extent cx="6403975" cy="237363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403975" cy="2373630"/>
                    </a:xfrm>
                    <a:prstGeom prst="rect">
                      <a:avLst/>
                    </a:prstGeom>
                  </pic:spPr>
                </pic:pic>
              </a:graphicData>
            </a:graphic>
            <wp14:sizeRelH relativeFrom="page">
              <wp14:pctWidth>0</wp14:pctWidth>
            </wp14:sizeRelH>
            <wp14:sizeRelV relativeFrom="page">
              <wp14:pctHeight>0</wp14:pctHeight>
            </wp14:sizeRelV>
          </wp:anchor>
        </w:drawing>
      </w:r>
      <w:r w:rsidRPr="004C7FE3">
        <w:rPr>
          <w:b/>
          <w:u w:val="single"/>
        </w:rPr>
        <w:t xml:space="preserve">Figure 4: </w:t>
      </w:r>
      <w:r w:rsidR="00B8729E">
        <w:rPr>
          <w:b/>
          <w:u w:val="single"/>
        </w:rPr>
        <w:t>IDBG</w:t>
      </w:r>
      <w:r w:rsidRPr="004C7FE3">
        <w:rPr>
          <w:b/>
          <w:u w:val="single"/>
        </w:rPr>
        <w:t xml:space="preserve"> – Hourly-Fees  </w:t>
      </w:r>
    </w:p>
    <w:p w14:paraId="6327E572" w14:textId="77777777" w:rsidR="0082041E" w:rsidRPr="004C7FE3" w:rsidRDefault="0082041E" w:rsidP="00EE0446">
      <w:pPr>
        <w:spacing w:line="360" w:lineRule="auto"/>
        <w:rPr>
          <w:b/>
          <w:u w:val="single"/>
        </w:rPr>
      </w:pPr>
    </w:p>
    <w:p w14:paraId="22E5D95C" w14:textId="724754E3" w:rsidR="00EE0446" w:rsidRPr="003B1483" w:rsidRDefault="00EE0446" w:rsidP="003B1483">
      <w:pPr>
        <w:pStyle w:val="ListParagraph"/>
        <w:numPr>
          <w:ilvl w:val="1"/>
          <w:numId w:val="1"/>
        </w:numPr>
        <w:spacing w:line="360" w:lineRule="auto"/>
        <w:rPr>
          <w:rFonts w:eastAsiaTheme="minorEastAsia"/>
          <w:b/>
          <w:shd w:val="clear" w:color="auto" w:fill="FFFFFF"/>
        </w:rPr>
      </w:pPr>
      <w:r w:rsidRPr="003B1483">
        <w:rPr>
          <w:rFonts w:eastAsiaTheme="minorEastAsia"/>
          <w:b/>
          <w:shd w:val="clear" w:color="auto" w:fill="FFFFFF"/>
        </w:rPr>
        <w:t>Hourly- Fees with Long-term Reputational Incentives</w:t>
      </w:r>
    </w:p>
    <w:p w14:paraId="66D05C3C" w14:textId="77777777" w:rsidR="00EE0446" w:rsidRPr="004C7FE3" w:rsidRDefault="00EE0446" w:rsidP="00EE0446">
      <w:pPr>
        <w:spacing w:line="360" w:lineRule="auto"/>
        <w:rPr>
          <w:rFonts w:eastAsiaTheme="minorEastAsia"/>
          <w:shd w:val="clear" w:color="auto" w:fill="FFFFFF"/>
        </w:rPr>
      </w:pPr>
      <w:r w:rsidRPr="004C7FE3">
        <w:rPr>
          <w:rFonts w:eastAsiaTheme="minorEastAsia"/>
          <w:shd w:val="clear" w:color="auto" w:fill="FFFFFF"/>
        </w:rPr>
        <w:t>In real-life, lawyers are repeat players who seek to preserve and/or enhance their reputational capital. An extension of the prior formulation considers how the incorporation of reputational incentives affect</w:t>
      </w:r>
      <w:r>
        <w:rPr>
          <w:rFonts w:eastAsiaTheme="minorEastAsia"/>
          <w:shd w:val="clear" w:color="auto" w:fill="FFFFFF"/>
        </w:rPr>
        <w:t>s</w:t>
      </w:r>
      <w:r w:rsidRPr="004C7FE3">
        <w:rPr>
          <w:rFonts w:eastAsiaTheme="minorEastAsia"/>
          <w:shd w:val="clear" w:color="auto" w:fill="FFFFFF"/>
        </w:rPr>
        <w:t xml:space="preserve"> the attainment of integrative outcomes. Lawyers are modelled to bear a reputational cost when securing their client with a distributive disadvantage relative to </w:t>
      </w:r>
      <w:r>
        <w:rPr>
          <w:rFonts w:eastAsiaTheme="minorEastAsia"/>
          <w:shd w:val="clear" w:color="auto" w:fill="FFFFFF"/>
        </w:rPr>
        <w:t>the opposing client,</w:t>
      </w:r>
      <w:r w:rsidRPr="004C7FE3">
        <w:rPr>
          <w:rFonts w:eastAsiaTheme="minorEastAsia"/>
          <w:shd w:val="clear" w:color="auto" w:fill="FFFFFF"/>
        </w:rPr>
        <w:t xml:space="preserve"> and a reputational surplus vice-versa.</w:t>
      </w:r>
      <w:r w:rsidRPr="004C7FE3">
        <w:rPr>
          <w:rStyle w:val="FootnoteReference"/>
          <w:rFonts w:eastAsiaTheme="minorEastAsia"/>
          <w:shd w:val="clear" w:color="auto" w:fill="FFFFFF"/>
        </w:rPr>
        <w:footnoteReference w:id="30"/>
      </w:r>
      <w:r w:rsidRPr="004C7FE3">
        <w:rPr>
          <w:rFonts w:eastAsiaTheme="minorEastAsia"/>
          <w:shd w:val="clear" w:color="auto" w:fill="FFFFFF"/>
        </w:rPr>
        <w:t xml:space="preserve">  </w:t>
      </w:r>
    </w:p>
    <w:p w14:paraId="626F6461" w14:textId="77777777" w:rsidR="00EE0446" w:rsidRPr="004C7FE3" w:rsidRDefault="00EE0446" w:rsidP="00EE0446">
      <w:pPr>
        <w:spacing w:line="360" w:lineRule="auto"/>
        <w:rPr>
          <w:rFonts w:eastAsiaTheme="minorEastAsia"/>
          <w:shd w:val="clear" w:color="auto" w:fill="FFFFFF"/>
        </w:rPr>
      </w:pPr>
    </w:p>
    <w:p w14:paraId="666ABD5F" w14:textId="74BCF59A" w:rsidR="00EE0446" w:rsidRPr="003B1483" w:rsidRDefault="00EE0446" w:rsidP="003B1483">
      <w:pPr>
        <w:pStyle w:val="ListParagraph"/>
        <w:numPr>
          <w:ilvl w:val="1"/>
          <w:numId w:val="1"/>
        </w:numPr>
        <w:spacing w:line="360" w:lineRule="auto"/>
        <w:rPr>
          <w:rFonts w:eastAsiaTheme="minorEastAsia"/>
          <w:b/>
          <w:shd w:val="clear" w:color="auto" w:fill="FFFFFF"/>
        </w:rPr>
      </w:pPr>
      <w:r w:rsidRPr="003B1483">
        <w:rPr>
          <w:rFonts w:eastAsiaTheme="minorEastAsia"/>
          <w:b/>
          <w:shd w:val="clear" w:color="auto" w:fill="FFFFFF"/>
        </w:rPr>
        <w:t xml:space="preserve">Hourly- Fees with Long-term Reputational Incentives and the Prospect of Trials </w:t>
      </w:r>
    </w:p>
    <w:p w14:paraId="33CECE65" w14:textId="3D7F6B9C" w:rsidR="00EE0446" w:rsidRDefault="00EE0446" w:rsidP="00EE0446">
      <w:pPr>
        <w:tabs>
          <w:tab w:val="left" w:pos="2353"/>
        </w:tabs>
        <w:spacing w:line="360" w:lineRule="auto"/>
      </w:pPr>
      <w:r w:rsidRPr="00A11A8A">
        <w:rPr>
          <w:rFonts w:eastAsiaTheme="minorEastAsia"/>
          <w:shd w:val="clear" w:color="auto" w:fill="FFFFFF"/>
        </w:rPr>
        <w:t xml:space="preserve">A fundamental research question within the legal-economic literature is why cases proceed to </w:t>
      </w:r>
      <w:r w:rsidRPr="00EA15F3">
        <w:rPr>
          <w:rFonts w:eastAsiaTheme="minorEastAsia"/>
          <w:shd w:val="clear" w:color="auto" w:fill="FFFFFF"/>
        </w:rPr>
        <w:t>trial (Loewenstein et al., 1993). Indeed</w:t>
      </w:r>
      <w:r w:rsidRPr="00A11A8A">
        <w:rPr>
          <w:rFonts w:eastAsiaTheme="minorEastAsia"/>
          <w:shd w:val="clear" w:color="auto" w:fill="FFFFFF"/>
        </w:rPr>
        <w:t xml:space="preserve">, a primary component of pre-trial bargaining is the threat of trials, should settlements fail to settle outside of the courtroom. Depicted in </w:t>
      </w:r>
      <w:r w:rsidRPr="004A0E98">
        <w:rPr>
          <w:rFonts w:eastAsiaTheme="minorEastAsia"/>
          <w:b/>
          <w:shd w:val="clear" w:color="auto" w:fill="FFFFFF"/>
        </w:rPr>
        <w:t>Figure 5</w:t>
      </w:r>
      <w:r w:rsidRPr="00A11A8A">
        <w:rPr>
          <w:rFonts w:eastAsiaTheme="minorEastAsia"/>
          <w:shd w:val="clear" w:color="auto" w:fill="FFFFFF"/>
        </w:rPr>
        <w:t>, the final node of the game-tree features a lottery</w:t>
      </w:r>
      <w:r>
        <w:rPr>
          <w:rFonts w:eastAsiaTheme="minorEastAsia"/>
          <w:shd w:val="clear" w:color="auto" w:fill="FFFFFF"/>
        </w:rPr>
        <w:t>, to model trial outcomes</w:t>
      </w:r>
      <w:r w:rsidRPr="00A11A8A">
        <w:rPr>
          <w:rFonts w:eastAsiaTheme="minorEastAsia"/>
          <w:shd w:val="clear" w:color="auto" w:fill="FFFFFF"/>
        </w:rPr>
        <w:t>.</w:t>
      </w:r>
      <w:r>
        <w:rPr>
          <w:rFonts w:eastAsiaTheme="minorEastAsia"/>
          <w:shd w:val="clear" w:color="auto" w:fill="FFFFFF"/>
        </w:rPr>
        <w:t xml:space="preserve"> </w:t>
      </w:r>
      <w:r w:rsidRPr="004C7FE3">
        <w:t xml:space="preserve">Verdicts are assumed to have a binary outcome, wherein one client is awarded the entire remaining pot. </w:t>
      </w:r>
      <w:r w:rsidRPr="00762BAC">
        <w:t>Indeed, negotiated agreements will help parties forego the risk and costs associated with litigation, which may involve all-or-nothing consequences (Mnookin and Kornhauser, 1979; Mnookin, 1985).</w:t>
      </w:r>
      <w:r w:rsidRPr="00762BAC">
        <w:rPr>
          <w:rStyle w:val="FootnoteReference"/>
        </w:rPr>
        <w:footnoteReference w:id="31"/>
      </w:r>
    </w:p>
    <w:p w14:paraId="37457C53" w14:textId="77777777" w:rsidR="00AD686D" w:rsidRPr="002F59BC" w:rsidRDefault="00AD686D" w:rsidP="00EE0446">
      <w:pPr>
        <w:tabs>
          <w:tab w:val="left" w:pos="2353"/>
        </w:tabs>
        <w:spacing w:line="360" w:lineRule="auto"/>
      </w:pPr>
    </w:p>
    <w:p w14:paraId="1FD0C007" w14:textId="6EC4A15A" w:rsidR="00EE0446" w:rsidRPr="004C7FE3" w:rsidRDefault="00EE0446" w:rsidP="00EE0446">
      <w:pPr>
        <w:spacing w:line="360" w:lineRule="auto"/>
        <w:rPr>
          <w:b/>
          <w:u w:val="single"/>
        </w:rPr>
      </w:pPr>
      <w:r w:rsidRPr="004C7FE3">
        <w:rPr>
          <w:noProof/>
        </w:rPr>
        <w:drawing>
          <wp:anchor distT="0" distB="0" distL="114300" distR="114300" simplePos="0" relativeHeight="251664384" behindDoc="0" locked="0" layoutInCell="1" allowOverlap="1" wp14:anchorId="4079D708" wp14:editId="1D3B1924">
            <wp:simplePos x="0" y="0"/>
            <wp:positionH relativeFrom="column">
              <wp:posOffset>-406400</wp:posOffset>
            </wp:positionH>
            <wp:positionV relativeFrom="paragraph">
              <wp:posOffset>329565</wp:posOffset>
            </wp:positionV>
            <wp:extent cx="6650355" cy="2432685"/>
            <wp:effectExtent l="0" t="0" r="4445" b="571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650355" cy="2432685"/>
                    </a:xfrm>
                    <a:prstGeom prst="rect">
                      <a:avLst/>
                    </a:prstGeom>
                  </pic:spPr>
                </pic:pic>
              </a:graphicData>
            </a:graphic>
            <wp14:sizeRelH relativeFrom="page">
              <wp14:pctWidth>0</wp14:pctWidth>
            </wp14:sizeRelH>
            <wp14:sizeRelV relativeFrom="page">
              <wp14:pctHeight>0</wp14:pctHeight>
            </wp14:sizeRelV>
          </wp:anchor>
        </w:drawing>
      </w:r>
      <w:r w:rsidRPr="004C7FE3">
        <w:rPr>
          <w:b/>
          <w:u w:val="single"/>
        </w:rPr>
        <w:t xml:space="preserve">Figure 5: </w:t>
      </w:r>
      <w:r w:rsidR="00B8729E">
        <w:rPr>
          <w:b/>
          <w:u w:val="single"/>
        </w:rPr>
        <w:t>IDBG</w:t>
      </w:r>
      <w:r w:rsidRPr="004C7FE3">
        <w:rPr>
          <w:b/>
          <w:u w:val="single"/>
        </w:rPr>
        <w:t xml:space="preserve"> – Trials    </w:t>
      </w:r>
    </w:p>
    <w:p w14:paraId="12AB0009" w14:textId="77777777" w:rsidR="00CC344C" w:rsidRDefault="00CC344C" w:rsidP="00EE0446">
      <w:pPr>
        <w:spacing w:line="360" w:lineRule="auto"/>
      </w:pPr>
    </w:p>
    <w:p w14:paraId="51C016A9" w14:textId="20EC46F7" w:rsidR="00EE0446" w:rsidRDefault="00EE0446" w:rsidP="00EE0446">
      <w:pPr>
        <w:spacing w:line="360" w:lineRule="auto"/>
      </w:pPr>
      <w:r w:rsidRPr="004C7FE3">
        <w:t>The probability of winning</w:t>
      </w:r>
      <w:r>
        <w:t xml:space="preserve"> at trial</w:t>
      </w:r>
      <w:r w:rsidRPr="004C7FE3">
        <w:t xml:space="preserve"> is based on the lawyer’s costly effort-levels (E). Consistent </w:t>
      </w:r>
      <w:r w:rsidRPr="00DA2021">
        <w:t>with Hirshleifer and Osborne’s (2001), the</w:t>
      </w:r>
      <w:r w:rsidRPr="004C7FE3">
        <w:t xml:space="preserve"> outcome is dependent on the litigation efforts of L</w:t>
      </w:r>
      <w:r w:rsidRPr="004C7FE3">
        <w:rPr>
          <w:vertAlign w:val="subscript"/>
        </w:rPr>
        <w:t>1</w:t>
      </w:r>
      <w:r w:rsidRPr="004C7FE3">
        <w:t xml:space="preserve"> (E</w:t>
      </w:r>
      <w:r w:rsidRPr="004C7FE3">
        <w:rPr>
          <w:vertAlign w:val="subscript"/>
        </w:rPr>
        <w:t>1</w:t>
      </w:r>
      <w:r w:rsidRPr="004C7FE3">
        <w:t>) and L</w:t>
      </w:r>
      <w:r w:rsidRPr="004C7FE3">
        <w:rPr>
          <w:vertAlign w:val="subscript"/>
        </w:rPr>
        <w:t>2</w:t>
      </w:r>
      <w:r w:rsidRPr="004C7FE3">
        <w:t xml:space="preserve"> (E</w:t>
      </w:r>
      <w:r w:rsidRPr="004C7FE3">
        <w:rPr>
          <w:vertAlign w:val="subscript"/>
        </w:rPr>
        <w:t>2</w:t>
      </w:r>
      <w:r w:rsidRPr="004C7FE3">
        <w:t>) and these satisfy a logit property in that the lawyer’s probability of success sum to unity. L</w:t>
      </w:r>
      <w:r w:rsidRPr="004C7FE3">
        <w:rPr>
          <w:vertAlign w:val="subscript"/>
        </w:rPr>
        <w:t>1</w:t>
      </w:r>
      <w:r w:rsidRPr="004C7FE3">
        <w:t>’s probability of winning is therefore denoted as 1-E</w:t>
      </w:r>
      <w:r w:rsidRPr="004C7FE3">
        <w:rPr>
          <w:vertAlign w:val="subscript"/>
        </w:rPr>
        <w:t xml:space="preserve">2 </w:t>
      </w:r>
      <w:r w:rsidRPr="004C7FE3">
        <w:t>where 1 represents the total sum of effort and E</w:t>
      </w:r>
      <w:r w:rsidRPr="004C7FE3">
        <w:rPr>
          <w:vertAlign w:val="subscript"/>
        </w:rPr>
        <w:t xml:space="preserve">2 </w:t>
      </w:r>
      <w:r w:rsidRPr="004C7FE3">
        <w:t>is the portion of the total sum invested by rival L</w:t>
      </w:r>
      <w:r w:rsidRPr="004C7FE3">
        <w:rPr>
          <w:vertAlign w:val="subscript"/>
        </w:rPr>
        <w:t>2</w:t>
      </w:r>
      <w:r w:rsidRPr="004C7FE3">
        <w:t>. For instance, if L</w:t>
      </w:r>
      <w:r w:rsidRPr="004C7FE3">
        <w:rPr>
          <w:vertAlign w:val="subscript"/>
        </w:rPr>
        <w:t>1</w:t>
      </w:r>
      <w:r w:rsidRPr="004C7FE3">
        <w:t xml:space="preserve"> invests 100 in costly effort and L</w:t>
      </w:r>
      <w:r w:rsidRPr="004C7FE3">
        <w:rPr>
          <w:vertAlign w:val="subscript"/>
        </w:rPr>
        <w:t>2</w:t>
      </w:r>
      <w:r w:rsidRPr="004C7FE3">
        <w:t xml:space="preserve"> invests 200 in costly effort, L</w:t>
      </w:r>
      <w:r w:rsidRPr="004C7FE3">
        <w:rPr>
          <w:vertAlign w:val="subscript"/>
        </w:rPr>
        <w:t>1</w:t>
      </w:r>
      <w:r w:rsidRPr="004C7FE3">
        <w:t>’s probability of winning the trial is 1/3</w:t>
      </w:r>
      <w:r>
        <w:t xml:space="preserve"> and </w:t>
      </w:r>
      <w:r w:rsidRPr="004C7FE3">
        <w:t>L</w:t>
      </w:r>
      <w:r w:rsidRPr="004C7FE3">
        <w:rPr>
          <w:vertAlign w:val="subscript"/>
        </w:rPr>
        <w:t>2</w:t>
      </w:r>
      <w:r>
        <w:t xml:space="preserve">’s is 2/3. </w:t>
      </w:r>
      <w:r w:rsidRPr="004C7FE3">
        <w:t xml:space="preserve">The fact that the exact probability of success is not known by the parties prior to the trial is </w:t>
      </w:r>
      <w:r w:rsidRPr="00481418">
        <w:t xml:space="preserve">consistent with </w:t>
      </w:r>
      <w:r>
        <w:t xml:space="preserve">the uncertainties of legal outcomes in </w:t>
      </w:r>
      <w:r w:rsidRPr="00762BAC">
        <w:t>divorce (Mnookin and Kornhauser 1979; Mnookin, 1985).</w:t>
      </w:r>
      <w:r w:rsidRPr="00762BAC">
        <w:rPr>
          <w:rStyle w:val="FootnoteReference"/>
        </w:rPr>
        <w:footnoteReference w:id="32"/>
      </w:r>
      <w:r>
        <w:t xml:space="preserve"> </w:t>
      </w:r>
      <w:r w:rsidR="00CC344C">
        <w:t xml:space="preserve">Given the potential lengthy nature of a trial; lawyers are likely to significantly increase their pecuniary compensation by pursuing trials. To reflect this lure, in the </w:t>
      </w:r>
      <w:r w:rsidR="00B8729E">
        <w:rPr>
          <w:rFonts w:eastAsia="Times New Roman"/>
        </w:rPr>
        <w:t>IDBG</w:t>
      </w:r>
      <w:r w:rsidR="00CC344C">
        <w:t xml:space="preserve">, a lawyer’s pecuniary compensation is modelled to </w:t>
      </w:r>
      <w:r w:rsidR="003247F8">
        <w:t xml:space="preserve">(arbitrarily) </w:t>
      </w:r>
      <w:r w:rsidR="00CC344C">
        <w:t xml:space="preserve">double should a lawyer pursue a trial. </w:t>
      </w:r>
      <w:r w:rsidR="003247F8">
        <w:t xml:space="preserve">Importantly, while </w:t>
      </w:r>
      <w:r>
        <w:t xml:space="preserve">divorcing spouses have no incentive to take cases to court for their precedential value </w:t>
      </w:r>
      <w:r w:rsidRPr="00D17A4F">
        <w:t>(Maccoby and Mnookin, 1992); divorce</w:t>
      </w:r>
      <w:r>
        <w:t xml:space="preserve"> lawyers are repeat players who may create precedent, by pursuing trials, that may be advantageous in future trials. </w:t>
      </w:r>
    </w:p>
    <w:p w14:paraId="5132362C" w14:textId="77777777" w:rsidR="00EE0446" w:rsidRDefault="00EE0446" w:rsidP="00EE0446">
      <w:pPr>
        <w:spacing w:line="360" w:lineRule="auto"/>
      </w:pPr>
    </w:p>
    <w:p w14:paraId="0E551B97" w14:textId="66C5996A" w:rsidR="00EE0446" w:rsidRPr="00CC344C" w:rsidRDefault="00EE0446" w:rsidP="00CC344C">
      <w:pPr>
        <w:pStyle w:val="ListParagraph"/>
        <w:numPr>
          <w:ilvl w:val="0"/>
          <w:numId w:val="1"/>
        </w:numPr>
        <w:spacing w:line="360" w:lineRule="auto"/>
        <w:rPr>
          <w:rFonts w:eastAsiaTheme="minorEastAsia"/>
          <w:b/>
          <w:shd w:val="clear" w:color="auto" w:fill="FFFFFF"/>
        </w:rPr>
      </w:pPr>
      <w:r w:rsidRPr="00CC344C">
        <w:rPr>
          <w:rFonts w:eastAsiaTheme="minorEastAsia"/>
          <w:b/>
          <w:shd w:val="clear" w:color="auto" w:fill="FFFFFF"/>
        </w:rPr>
        <w:t xml:space="preserve">Utility Functions  </w:t>
      </w:r>
    </w:p>
    <w:p w14:paraId="71E8B160" w14:textId="5C501756" w:rsidR="00EE0446" w:rsidRDefault="00EE0446" w:rsidP="00EE0446">
      <w:pPr>
        <w:spacing w:line="360" w:lineRule="auto"/>
        <w:rPr>
          <w:rFonts w:eastAsiaTheme="minorEastAsia"/>
          <w:color w:val="000000" w:themeColor="text1"/>
        </w:rPr>
      </w:pPr>
      <w:r w:rsidRPr="003674FB">
        <w:rPr>
          <w:rFonts w:eastAsiaTheme="minorEastAsia"/>
          <w:color w:val="000000" w:themeColor="text1"/>
        </w:rPr>
        <w:t>The utility functions present L</w:t>
      </w:r>
      <w:r w:rsidRPr="003674FB">
        <w:rPr>
          <w:rFonts w:eastAsiaTheme="minorEastAsia"/>
          <w:color w:val="000000" w:themeColor="text1"/>
          <w:vertAlign w:val="subscript"/>
        </w:rPr>
        <w:t>2</w:t>
      </w:r>
      <w:r w:rsidRPr="003674FB">
        <w:rPr>
          <w:rFonts w:eastAsiaTheme="minorEastAsia"/>
          <w:color w:val="000000" w:themeColor="text1"/>
        </w:rPr>
        <w:t>’s utility at node t, (</w:t>
      </w:r>
      <w:r w:rsidRPr="003674FB">
        <w:rPr>
          <w:rFonts w:eastAsiaTheme="minorEastAsia"/>
          <w:b/>
          <w:color w:val="000000" w:themeColor="text1"/>
          <w:shd w:val="clear" w:color="auto" w:fill="FFFFFF"/>
        </w:rPr>
        <w:t>U</w:t>
      </w:r>
      <w:r w:rsidRPr="003674FB">
        <w:rPr>
          <w:rFonts w:eastAsiaTheme="minorEastAsia"/>
          <w:b/>
          <w:color w:val="000000" w:themeColor="text1"/>
          <w:vertAlign w:val="subscript"/>
        </w:rPr>
        <w:t>L2,t</w:t>
      </w:r>
      <w:r w:rsidRPr="003674FB">
        <w:rPr>
          <w:rFonts w:eastAsiaTheme="minorEastAsia"/>
          <w:color w:val="000000" w:themeColor="text1"/>
        </w:rPr>
        <w:t>), yet their formulation applies to L</w:t>
      </w:r>
      <w:r w:rsidRPr="003674FB">
        <w:rPr>
          <w:rFonts w:eastAsiaTheme="minorEastAsia"/>
          <w:color w:val="000000" w:themeColor="text1"/>
          <w:vertAlign w:val="subscript"/>
        </w:rPr>
        <w:t>1</w:t>
      </w:r>
      <w:r w:rsidRPr="003674FB">
        <w:rPr>
          <w:rFonts w:eastAsiaTheme="minorEastAsia"/>
          <w:color w:val="000000" w:themeColor="text1"/>
        </w:rPr>
        <w:t xml:space="preserve"> as well.</w:t>
      </w:r>
    </w:p>
    <w:p w14:paraId="7FBF5191" w14:textId="77777777" w:rsidR="00AD686D" w:rsidRPr="002F59BC" w:rsidRDefault="00AD686D" w:rsidP="00EE0446">
      <w:pPr>
        <w:spacing w:line="360" w:lineRule="auto"/>
        <w:rPr>
          <w:rFonts w:eastAsiaTheme="minorEastAsia"/>
          <w:color w:val="000000" w:themeColor="text1"/>
        </w:rPr>
      </w:pPr>
    </w:p>
    <w:p w14:paraId="06E992B6" w14:textId="5BC24ECD" w:rsidR="00EE0446" w:rsidRPr="003674FB" w:rsidRDefault="00EE0446" w:rsidP="00EE0446">
      <w:pPr>
        <w:spacing w:line="360" w:lineRule="auto"/>
        <w:rPr>
          <w:rFonts w:eastAsiaTheme="minorEastAsia"/>
          <w:b/>
          <w:shd w:val="clear" w:color="auto" w:fill="FFFFFF"/>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b/>
        </w:rPr>
        <w:t>(</w:t>
      </w:r>
      <w:r w:rsidRPr="003674FB">
        <w:rPr>
          <w:rFonts w:eastAsiaTheme="minorEastAsia"/>
        </w:rPr>
        <w:t>X</w:t>
      </w:r>
      <w:r w:rsidRPr="003674FB">
        <w:rPr>
          <w:rFonts w:eastAsiaTheme="minorEastAsia"/>
          <w:vertAlign w:val="subscript"/>
        </w:rPr>
        <w:t>L2,t</w:t>
      </w:r>
      <w:r w:rsidRPr="003674FB">
        <w:rPr>
          <w:rFonts w:eastAsiaTheme="minorEastAsia"/>
        </w:rPr>
        <w:t xml:space="preserve">) = </w:t>
      </w:r>
      <w:r w:rsidRPr="003674FB">
        <w:t>X</w:t>
      </w:r>
      <w:r w:rsidRPr="003674FB">
        <w:rPr>
          <w:vertAlign w:val="subscript"/>
        </w:rPr>
        <w:t>L2,t</w:t>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sidRPr="003674FB">
        <w:rPr>
          <w:vertAlign w:val="subscript"/>
        </w:rPr>
        <w:tab/>
      </w:r>
      <w:r>
        <w:rPr>
          <w:vertAlign w:val="subscript"/>
        </w:rPr>
        <w:t xml:space="preserve">  </w:t>
      </w:r>
      <w:r w:rsidRPr="003674FB">
        <w:rPr>
          <w:rFonts w:eastAsiaTheme="minorEastAsia"/>
          <w:b/>
          <w:color w:val="000000" w:themeColor="text1"/>
        </w:rPr>
        <w:t>(1)</w:t>
      </w:r>
    </w:p>
    <w:p w14:paraId="4855F533" w14:textId="77777777" w:rsidR="0082041E" w:rsidRDefault="0082041E" w:rsidP="00EE0446">
      <w:pPr>
        <w:spacing w:line="360" w:lineRule="auto"/>
        <w:rPr>
          <w:rFonts w:eastAsia="Times New Roman"/>
          <w:b/>
          <w:color w:val="000000"/>
        </w:rPr>
      </w:pPr>
    </w:p>
    <w:p w14:paraId="49ADF3B5" w14:textId="77777777" w:rsidR="00EE0446" w:rsidRPr="003674FB" w:rsidRDefault="00EE0446" w:rsidP="00EE0446">
      <w:pPr>
        <w:spacing w:line="360" w:lineRule="auto"/>
        <w:rPr>
          <w:rFonts w:eastAsia="Times New Roman"/>
          <w:color w:val="000000"/>
        </w:rPr>
      </w:pPr>
      <w:r w:rsidRPr="003674FB">
        <w:rPr>
          <w:rFonts w:eastAsia="Times New Roman"/>
          <w:b/>
          <w:color w:val="000000"/>
        </w:rPr>
        <w:t xml:space="preserve">Utility Function (1) </w:t>
      </w:r>
      <w:r w:rsidRPr="003674FB">
        <w:rPr>
          <w:rFonts w:eastAsia="Times New Roman"/>
          <w:color w:val="000000"/>
        </w:rPr>
        <w:t xml:space="preserve">suggests, that the greater the pecuniary compensation at node t, </w:t>
      </w:r>
      <w:r w:rsidRPr="003674FB">
        <w:t>X</w:t>
      </w:r>
      <w:r w:rsidRPr="003674FB">
        <w:rPr>
          <w:vertAlign w:val="subscript"/>
        </w:rPr>
        <w:t>L2,t</w:t>
      </w:r>
      <w:r>
        <w:rPr>
          <w:vertAlign w:val="subscript"/>
        </w:rPr>
        <w:t xml:space="preserve"> </w:t>
      </w:r>
      <w:r w:rsidRPr="003674FB">
        <w:rPr>
          <w:rFonts w:eastAsia="Times New Roman"/>
          <w:color w:val="000000"/>
        </w:rPr>
        <w:t xml:space="preserve">the more utility sourced by </w:t>
      </w:r>
      <w:r w:rsidRPr="003674FB">
        <w:rPr>
          <w:rFonts w:eastAsiaTheme="minorEastAsia"/>
          <w:color w:val="000000" w:themeColor="text1"/>
        </w:rPr>
        <w:t>L</w:t>
      </w:r>
      <w:r w:rsidRPr="003674FB">
        <w:rPr>
          <w:rFonts w:eastAsiaTheme="minorEastAsia"/>
          <w:color w:val="000000" w:themeColor="text1"/>
          <w:vertAlign w:val="subscript"/>
        </w:rPr>
        <w:t>2</w:t>
      </w:r>
      <w:r w:rsidRPr="003674FB">
        <w:rPr>
          <w:rFonts w:eastAsia="Times New Roman"/>
          <w:color w:val="000000"/>
        </w:rPr>
        <w:t>. While the ideal lawyer is one whose incen</w:t>
      </w:r>
      <w:r>
        <w:rPr>
          <w:rFonts w:eastAsia="Times New Roman"/>
          <w:color w:val="000000"/>
        </w:rPr>
        <w:t xml:space="preserve">tives align with their client, in accordance with </w:t>
      </w:r>
      <w:r>
        <w:rPr>
          <w:rFonts w:eastAsia="Times New Roman"/>
          <w:b/>
          <w:color w:val="000000"/>
        </w:rPr>
        <w:t>Utility Function (1)</w:t>
      </w:r>
      <w:r>
        <w:rPr>
          <w:rFonts w:eastAsia="Times New Roman"/>
          <w:color w:val="000000"/>
        </w:rPr>
        <w:t>, a</w:t>
      </w:r>
      <w:r w:rsidRPr="003674FB">
        <w:rPr>
          <w:rFonts w:eastAsia="Times New Roman"/>
          <w:color w:val="000000"/>
        </w:rPr>
        <w:t xml:space="preserve"> lawyer’s sole concern for profit-maximisation</w:t>
      </w:r>
      <w:r>
        <w:rPr>
          <w:rFonts w:eastAsia="Times New Roman"/>
          <w:color w:val="000000"/>
        </w:rPr>
        <w:t xml:space="preserve"> </w:t>
      </w:r>
      <w:r w:rsidRPr="003674FB">
        <w:rPr>
          <w:rFonts w:eastAsia="Times New Roman"/>
          <w:color w:val="000000"/>
        </w:rPr>
        <w:t xml:space="preserve">may give rise to opportunistic behaviour. However, consistent with prior discussion, reputational incentives may temper opportunistic behaviour. </w:t>
      </w:r>
    </w:p>
    <w:p w14:paraId="316B4B4F" w14:textId="77777777" w:rsidR="00EE0446" w:rsidRPr="003674FB" w:rsidRDefault="00EE0446" w:rsidP="00EE0446">
      <w:pPr>
        <w:spacing w:line="360" w:lineRule="auto"/>
        <w:rPr>
          <w:rFonts w:eastAsia="Times New Roman"/>
          <w:color w:val="000000"/>
        </w:rPr>
      </w:pPr>
    </w:p>
    <w:p w14:paraId="7C34E665" w14:textId="24AC807E" w:rsidR="00EE0446" w:rsidRPr="003674FB" w:rsidRDefault="00EE0446" w:rsidP="00EE0446">
      <w:pPr>
        <w:spacing w:line="360" w:lineRule="auto"/>
        <w:rPr>
          <w:rFonts w:eastAsia="Times New Roman"/>
          <w:color w:val="000000"/>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L2,t</w:t>
      </w:r>
      <w:r w:rsidRPr="003674FB">
        <w:rPr>
          <w:rFonts w:eastAsiaTheme="minorEastAsia"/>
        </w:rPr>
        <w:t>, D</w:t>
      </w:r>
      <w:r w:rsidRPr="003674FB">
        <w:rPr>
          <w:rFonts w:eastAsiaTheme="minorEastAsia"/>
          <w:vertAlign w:val="subscript"/>
        </w:rPr>
        <w:t xml:space="preserve">C1,t </w:t>
      </w:r>
      <w:r w:rsidRPr="003674FB">
        <w:rPr>
          <w:rFonts w:eastAsiaTheme="minorEastAsia"/>
          <w:shd w:val="clear" w:color="auto" w:fill="FFFFFF"/>
        </w:rPr>
        <w:t xml:space="preserve">, </w:t>
      </w:r>
      <w:r w:rsidRPr="003674FB">
        <w:rPr>
          <w:rFonts w:eastAsiaTheme="minorEastAsia"/>
        </w:rPr>
        <w:t>D</w:t>
      </w:r>
      <w:r w:rsidRPr="003674FB">
        <w:rPr>
          <w:rFonts w:eastAsiaTheme="minorEastAsia"/>
          <w:vertAlign w:val="subscript"/>
        </w:rPr>
        <w:t>C2,t</w:t>
      </w:r>
      <w:r w:rsidRPr="003674FB">
        <w:rPr>
          <w:rFonts w:eastAsiaTheme="minorEastAsia"/>
        </w:rPr>
        <w:t xml:space="preserve">) = </w:t>
      </w:r>
      <w:r w:rsidRPr="003674FB">
        <w:t>X</w:t>
      </w:r>
      <w:r w:rsidRPr="003674FB">
        <w:rPr>
          <w:vertAlign w:val="subscript"/>
        </w:rPr>
        <w:t xml:space="preserve">L2,t  </w:t>
      </w:r>
      <w:r>
        <w:rPr>
          <w:rFonts w:eastAsiaTheme="minorEastAsia"/>
        </w:rPr>
        <w:t>+ r</w:t>
      </w:r>
      <w:r w:rsidRPr="003674FB">
        <w:rPr>
          <w:rFonts w:eastAsiaTheme="minorEastAsia"/>
        </w:rPr>
        <w:t>(D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w:t>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b/>
        </w:rPr>
        <w:t>(2)</w:t>
      </w:r>
    </w:p>
    <w:p w14:paraId="1477A296" w14:textId="77777777" w:rsidR="00EE0446" w:rsidRDefault="00EE0446" w:rsidP="00EE0446">
      <w:pPr>
        <w:spacing w:line="360" w:lineRule="auto"/>
        <w:rPr>
          <w:rFonts w:eastAsiaTheme="minorEastAsia"/>
          <w:shd w:val="clear" w:color="auto" w:fill="FFFFFF"/>
        </w:rPr>
      </w:pPr>
    </w:p>
    <w:p w14:paraId="4CA50B90" w14:textId="58F69221" w:rsidR="00EE0446" w:rsidRDefault="00EE0446" w:rsidP="00EE0446">
      <w:pPr>
        <w:spacing w:line="360" w:lineRule="auto"/>
        <w:rPr>
          <w:rFonts w:eastAsiaTheme="minorEastAsia"/>
          <w:shd w:val="clear" w:color="auto" w:fill="FFFFFF"/>
        </w:rPr>
      </w:pPr>
      <w:r w:rsidRPr="003674FB">
        <w:rPr>
          <w:rFonts w:eastAsiaTheme="minorEastAsia"/>
          <w:shd w:val="clear" w:color="auto" w:fill="FFFFFF"/>
        </w:rPr>
        <w:t xml:space="preserve">The formulation of reputational incentives in </w:t>
      </w:r>
      <w:r>
        <w:rPr>
          <w:rFonts w:eastAsiaTheme="minorEastAsia"/>
          <w:b/>
          <w:shd w:val="clear" w:color="auto" w:fill="FFFFFF"/>
        </w:rPr>
        <w:t>Utility Function</w:t>
      </w:r>
      <w:r w:rsidRPr="003674FB">
        <w:rPr>
          <w:rFonts w:eastAsiaTheme="minorEastAsia"/>
          <w:b/>
          <w:shd w:val="clear" w:color="auto" w:fill="FFFFFF"/>
        </w:rPr>
        <w:t xml:space="preserve"> (2)</w:t>
      </w:r>
      <w:r w:rsidRPr="003674FB">
        <w:rPr>
          <w:rFonts w:eastAsiaTheme="minorEastAsia"/>
          <w:shd w:val="clear" w:color="auto" w:fill="FFFFFF"/>
        </w:rPr>
        <w:t xml:space="preserve">, </w:t>
      </w:r>
      <w:r>
        <w:rPr>
          <w:rFonts w:eastAsiaTheme="minorEastAsia"/>
        </w:rPr>
        <w:t>r</w:t>
      </w:r>
      <w:r w:rsidRPr="003674FB">
        <w:rPr>
          <w:rFonts w:eastAsiaTheme="minorEastAsia"/>
        </w:rPr>
        <w:t>(D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w:t>
      </w:r>
      <w:r>
        <w:rPr>
          <w:rFonts w:eastAsiaTheme="minorEastAsia"/>
        </w:rPr>
        <w:t>,</w:t>
      </w:r>
      <w:r>
        <w:rPr>
          <w:rFonts w:eastAsiaTheme="minorEastAsia"/>
          <w:shd w:val="clear" w:color="auto" w:fill="FFFFFF"/>
        </w:rPr>
        <w:t xml:space="preserve"> </w:t>
      </w:r>
      <w:r w:rsidRPr="003674FB">
        <w:rPr>
          <w:rFonts w:eastAsiaTheme="minorEastAsia"/>
        </w:rPr>
        <w:t xml:space="preserve">is based on the credence nature of legal services. </w:t>
      </w:r>
      <w:r w:rsidRPr="003674FB">
        <w:rPr>
          <w:rFonts w:eastAsiaTheme="minorEastAsia"/>
          <w:shd w:val="clear" w:color="auto" w:fill="FFFFFF"/>
        </w:rPr>
        <w:t xml:space="preserve">Legal services are postulated to be highly complex, ambiguous and unpredictable, making it difficult for an expert, let alone the client, </w:t>
      </w:r>
      <w:r w:rsidRPr="009E615F">
        <w:rPr>
          <w:rFonts w:eastAsiaTheme="minorEastAsia"/>
          <w:shd w:val="clear" w:color="auto" w:fill="FFFFFF"/>
        </w:rPr>
        <w:t xml:space="preserve">to </w:t>
      </w:r>
      <w:r w:rsidRPr="00CF4271">
        <w:rPr>
          <w:rFonts w:eastAsiaTheme="minorEastAsia"/>
          <w:shd w:val="clear" w:color="auto" w:fill="FFFFFF"/>
        </w:rPr>
        <w:t>evaluate services (Langevoort and Rasmussen, 1997; Hadfield</w:t>
      </w:r>
      <w:r w:rsidRPr="00DA2021">
        <w:rPr>
          <w:rFonts w:eastAsiaTheme="minorEastAsia"/>
          <w:shd w:val="clear" w:color="auto" w:fill="FFFFFF"/>
        </w:rPr>
        <w:t>, 2000). The</w:t>
      </w:r>
      <w:r w:rsidRPr="00580479">
        <w:rPr>
          <w:rFonts w:eastAsiaTheme="minorEastAsia"/>
          <w:shd w:val="clear" w:color="auto" w:fill="FFFFFF"/>
        </w:rPr>
        <w:t xml:space="preserve"> unsophisticated</w:t>
      </w:r>
      <w:r w:rsidRPr="003674FB">
        <w:rPr>
          <w:rFonts w:eastAsiaTheme="minorEastAsia"/>
          <w:shd w:val="clear" w:color="auto" w:fill="FFFFFF"/>
        </w:rPr>
        <w:t xml:space="preserve"> client who</w:t>
      </w:r>
      <w:r>
        <w:rPr>
          <w:rFonts w:eastAsiaTheme="minorEastAsia"/>
          <w:shd w:val="clear" w:color="auto" w:fill="FFFFFF"/>
        </w:rPr>
        <w:t xml:space="preserve"> is assumed unaware of the game-</w:t>
      </w:r>
      <w:r w:rsidRPr="003674FB">
        <w:rPr>
          <w:rFonts w:eastAsiaTheme="minorEastAsia"/>
          <w:shd w:val="clear" w:color="auto" w:fill="FFFFFF"/>
        </w:rPr>
        <w:t xml:space="preserve">structure and unable to monitor their lawyer, is determined incapable of evaluating their lawyer’s performance with respect to the unique circumstances of the case. </w:t>
      </w:r>
      <w:r>
        <w:rPr>
          <w:rFonts w:eastAsiaTheme="minorEastAsia"/>
          <w:shd w:val="clear" w:color="auto" w:fill="FFFFFF"/>
        </w:rPr>
        <w:t>Instead,</w:t>
      </w:r>
      <w:r w:rsidRPr="003674FB">
        <w:rPr>
          <w:rFonts w:eastAsiaTheme="minorEastAsia"/>
          <w:shd w:val="clear" w:color="auto" w:fill="FFFFFF"/>
        </w:rPr>
        <w:t xml:space="preserve"> clients may be induced to compare distributive shares when evaluating their lawyers’ performance. Indeed, while unaware of the legal standards and complexity of their case; the unsophisticated client will be quick to recognise whether their ex-spouse has fared better or worse than themselves. Accordingly, the unsophisticated client is postulated to base their evaluation of a lawyer’s performance on relative outcomes</w:t>
      </w:r>
      <w:r>
        <w:rPr>
          <w:rFonts w:eastAsiaTheme="minorEastAsia"/>
          <w:shd w:val="clear" w:color="auto" w:fill="FFFFFF"/>
        </w:rPr>
        <w:t xml:space="preserve"> </w:t>
      </w:r>
      <w:r w:rsidRPr="003674FB">
        <w:rPr>
          <w:rFonts w:eastAsiaTheme="minorEastAsia"/>
          <w:shd w:val="clear" w:color="auto" w:fill="FFFFFF"/>
        </w:rPr>
        <w:t>as opposed to t</w:t>
      </w:r>
      <w:r>
        <w:rPr>
          <w:rFonts w:eastAsiaTheme="minorEastAsia"/>
          <w:shd w:val="clear" w:color="auto" w:fill="FFFFFF"/>
        </w:rPr>
        <w:t xml:space="preserve">he lawyer’s </w:t>
      </w:r>
      <w:r w:rsidRPr="003674FB">
        <w:rPr>
          <w:rFonts w:eastAsiaTheme="minorEastAsia"/>
          <w:shd w:val="clear" w:color="auto" w:fill="FFFFFF"/>
        </w:rPr>
        <w:t>effort, motivation or intentions.</w:t>
      </w:r>
      <w:r>
        <w:rPr>
          <w:rStyle w:val="FootnoteReference"/>
          <w:rFonts w:eastAsiaTheme="minorEastAsia"/>
          <w:shd w:val="clear" w:color="auto" w:fill="FFFFFF"/>
        </w:rPr>
        <w:footnoteReference w:id="33"/>
      </w:r>
      <w:r w:rsidRPr="003674FB">
        <w:rPr>
          <w:rFonts w:eastAsiaTheme="minorEastAsia"/>
          <w:shd w:val="clear" w:color="auto" w:fill="FFFFFF"/>
        </w:rPr>
        <w:t xml:space="preserve"> </w:t>
      </w:r>
      <w:r>
        <w:rPr>
          <w:rFonts w:eastAsiaTheme="minorEastAsia"/>
          <w:b/>
          <w:shd w:val="clear" w:color="auto" w:fill="FFFFFF"/>
        </w:rPr>
        <w:t>Utility Function</w:t>
      </w:r>
      <w:r w:rsidRPr="003674FB">
        <w:rPr>
          <w:rFonts w:eastAsiaTheme="minorEastAsia"/>
          <w:b/>
          <w:shd w:val="clear" w:color="auto" w:fill="FFFFFF"/>
        </w:rPr>
        <w:t xml:space="preserve"> (2)</w:t>
      </w:r>
      <w:r w:rsidRPr="003674FB">
        <w:rPr>
          <w:rFonts w:eastAsiaTheme="minorEastAsia"/>
          <w:shd w:val="clear" w:color="auto" w:fill="FFFFFF"/>
        </w:rPr>
        <w:t xml:space="preserve"> illustrates how L</w:t>
      </w:r>
      <w:r w:rsidRPr="003674FB">
        <w:rPr>
          <w:rFonts w:eastAsiaTheme="minorEastAsia"/>
          <w:shd w:val="clear" w:color="auto" w:fill="FFFFFF"/>
          <w:vertAlign w:val="subscript"/>
        </w:rPr>
        <w:t>2</w:t>
      </w:r>
      <w:r w:rsidRPr="003674FB">
        <w:rPr>
          <w:rFonts w:eastAsiaTheme="minorEastAsia"/>
          <w:shd w:val="clear" w:color="auto" w:fill="FFFFFF"/>
        </w:rPr>
        <w:t xml:space="preserve"> will earn a reputational surplus when securing their client with a distributive advantage, </w:t>
      </w:r>
      <w:r w:rsidRPr="003674FB">
        <w:rPr>
          <w:rFonts w:eastAsiaTheme="minorEastAsia"/>
        </w:rPr>
        <w:t>D</w:t>
      </w:r>
      <w:r w:rsidRPr="003674FB">
        <w:rPr>
          <w:rFonts w:eastAsiaTheme="minorEastAsia"/>
          <w:vertAlign w:val="subscript"/>
        </w:rPr>
        <w:t xml:space="preserve">C2,t </w:t>
      </w:r>
      <w:r>
        <w:rPr>
          <w:rFonts w:eastAsiaTheme="minorEastAsia"/>
        </w:rPr>
        <w:t xml:space="preserve">&gt; </w:t>
      </w:r>
      <w:r w:rsidRPr="003674FB">
        <w:rPr>
          <w:rFonts w:eastAsiaTheme="minorEastAsia"/>
        </w:rPr>
        <w:t>D</w:t>
      </w:r>
      <w:r w:rsidRPr="003674FB">
        <w:rPr>
          <w:rFonts w:eastAsiaTheme="minorEastAsia"/>
          <w:vertAlign w:val="subscript"/>
        </w:rPr>
        <w:t>C1,t</w:t>
      </w:r>
      <w:r w:rsidRPr="003674FB">
        <w:rPr>
          <w:rFonts w:eastAsiaTheme="minorEastAsia"/>
        </w:rPr>
        <w:t>.</w:t>
      </w:r>
      <w:r w:rsidRPr="003674FB">
        <w:rPr>
          <w:rFonts w:eastAsiaTheme="minorEastAsia"/>
          <w:shd w:val="clear" w:color="auto" w:fill="FFFFFF"/>
        </w:rPr>
        <w:t xml:space="preserve"> This surplus reflects the utility sourced by the lawyer, who is cognizant of the associated long-run career benefits, including client attraction and </w:t>
      </w:r>
      <w:r>
        <w:rPr>
          <w:rFonts w:eastAsiaTheme="minorEastAsia"/>
          <w:shd w:val="clear" w:color="auto" w:fill="FFFFFF"/>
        </w:rPr>
        <w:t>potentially, increased hourly-rates</w:t>
      </w:r>
      <w:r w:rsidRPr="003674FB">
        <w:rPr>
          <w:rFonts w:eastAsiaTheme="minorEastAsia"/>
          <w:shd w:val="clear" w:color="auto" w:fill="FFFFFF"/>
        </w:rPr>
        <w:t>. Similarly, lawyers bear a reputational cost when securing their client with a distributive disadvantage,</w:t>
      </w:r>
      <w:r w:rsidRPr="003674FB">
        <w:rPr>
          <w:rFonts w:eastAsiaTheme="minorEastAsia"/>
        </w:rPr>
        <w:t xml:space="preserve"> D</w:t>
      </w:r>
      <w:r w:rsidRPr="003674FB">
        <w:rPr>
          <w:rFonts w:eastAsiaTheme="minorEastAsia"/>
          <w:vertAlign w:val="subscript"/>
        </w:rPr>
        <w:t xml:space="preserve">C2,t </w:t>
      </w:r>
      <w:r w:rsidRPr="003674FB">
        <w:rPr>
          <w:rFonts w:eastAsiaTheme="minorEastAsia"/>
        </w:rPr>
        <w:t>&lt; D</w:t>
      </w:r>
      <w:r w:rsidRPr="003674FB">
        <w:rPr>
          <w:rFonts w:eastAsiaTheme="minorEastAsia"/>
          <w:vertAlign w:val="subscript"/>
        </w:rPr>
        <w:t>C1,t</w:t>
      </w:r>
      <w:r w:rsidRPr="003674FB">
        <w:rPr>
          <w:rFonts w:eastAsiaTheme="minorEastAsia"/>
        </w:rPr>
        <w:t xml:space="preserve">. </w:t>
      </w:r>
      <w:r w:rsidRPr="003674FB">
        <w:rPr>
          <w:rFonts w:eastAsiaTheme="minorEastAsia"/>
          <w:shd w:val="clear" w:color="auto" w:fill="FFFFFF"/>
        </w:rPr>
        <w:t>Reputational costs will decrease a lawyer’s utility given its adverse impact on the lawyer’s prospects with future clients.</w:t>
      </w:r>
      <w:r>
        <w:rPr>
          <w:rFonts w:eastAsiaTheme="minorEastAsia"/>
          <w:shd w:val="clear" w:color="auto" w:fill="FFFFFF"/>
        </w:rPr>
        <w:t xml:space="preserve"> This formulation of reputation is supplemented by parameter </w:t>
      </w:r>
      <w:r>
        <w:rPr>
          <w:rFonts w:eastAsiaTheme="minorEastAsia"/>
          <w:i/>
          <w:shd w:val="clear" w:color="auto" w:fill="FFFFFF"/>
        </w:rPr>
        <w:t>r</w:t>
      </w:r>
      <w:r>
        <w:rPr>
          <w:rFonts w:eastAsiaTheme="minorEastAsia"/>
          <w:shd w:val="clear" w:color="auto" w:fill="FFFFFF"/>
        </w:rPr>
        <w:t xml:space="preserve"> which represents publicity/awareness, referring to the number of prospective customers who will become cognizant of the lawyer’s performance.</w:t>
      </w:r>
      <w:r w:rsidRPr="003674FB">
        <w:rPr>
          <w:rStyle w:val="FootnoteReference"/>
          <w:color w:val="000000" w:themeColor="text1"/>
        </w:rPr>
        <w:footnoteReference w:id="34"/>
      </w:r>
      <w:r>
        <w:rPr>
          <w:rFonts w:eastAsiaTheme="minorEastAsia"/>
          <w:shd w:val="clear" w:color="auto" w:fill="FFFFFF"/>
        </w:rPr>
        <w:t xml:space="preserve"> The level of publicity/awareness is assumed positively correlated with the level of WOM and is thus assumed to determine the magnitude of the reputational cost or surplus. </w:t>
      </w:r>
    </w:p>
    <w:p w14:paraId="72B9808E" w14:textId="77777777" w:rsidR="00EE0446" w:rsidRPr="003674FB" w:rsidRDefault="00EE0446" w:rsidP="00EE0446">
      <w:pPr>
        <w:spacing w:line="360" w:lineRule="auto"/>
        <w:rPr>
          <w:rFonts w:eastAsiaTheme="minorEastAsia"/>
          <w:shd w:val="clear" w:color="auto" w:fill="FFFFFF"/>
        </w:rPr>
      </w:pPr>
    </w:p>
    <w:p w14:paraId="5185C158" w14:textId="4267CB9B" w:rsidR="00EE0446" w:rsidRPr="003674FB" w:rsidRDefault="00EE0446" w:rsidP="00EE0446">
      <w:pPr>
        <w:spacing w:line="360" w:lineRule="auto"/>
        <w:rPr>
          <w:rFonts w:eastAsiaTheme="minorEastAsia"/>
          <w:color w:val="000000" w:themeColor="text1"/>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L2,t</w:t>
      </w:r>
      <w:r w:rsidRPr="003674FB">
        <w:rPr>
          <w:rFonts w:eastAsiaTheme="minorEastAsia"/>
        </w:rPr>
        <w:t>, D</w:t>
      </w:r>
      <w:r w:rsidRPr="003674FB">
        <w:rPr>
          <w:rFonts w:eastAsiaTheme="minorEastAsia"/>
          <w:vertAlign w:val="subscript"/>
        </w:rPr>
        <w:t xml:space="preserve">C1,t </w:t>
      </w:r>
      <w:r w:rsidRPr="003674FB">
        <w:rPr>
          <w:rFonts w:eastAsiaTheme="minorEastAsia"/>
          <w:shd w:val="clear" w:color="auto" w:fill="FFFFFF"/>
        </w:rPr>
        <w:t xml:space="preserve">, </w:t>
      </w:r>
      <w:r w:rsidRPr="003674FB">
        <w:rPr>
          <w:rFonts w:eastAsiaTheme="minorEastAsia"/>
        </w:rPr>
        <w:t>D</w:t>
      </w:r>
      <w:r w:rsidRPr="003674FB">
        <w:rPr>
          <w:rFonts w:eastAsiaTheme="minorEastAsia"/>
          <w:vertAlign w:val="subscript"/>
        </w:rPr>
        <w:t>C2,t</w:t>
      </w:r>
      <w:r w:rsidRPr="003674FB">
        <w:rPr>
          <w:rFonts w:eastAsiaTheme="minorEastAsia"/>
        </w:rPr>
        <w:t xml:space="preserve">) = </w:t>
      </w:r>
      <w:r w:rsidRPr="003674FB">
        <w:t>X</w:t>
      </w:r>
      <w:r w:rsidRPr="003674FB">
        <w:rPr>
          <w:vertAlign w:val="subscript"/>
        </w:rPr>
        <w:t xml:space="preserve">L2,t  </w:t>
      </w:r>
      <w:r>
        <w:rPr>
          <w:rFonts w:eastAsiaTheme="minorEastAsia"/>
        </w:rPr>
        <w:t>+ r</w:t>
      </w:r>
      <w:r w:rsidRPr="003674FB">
        <w:rPr>
          <w:rFonts w:eastAsiaTheme="minorEastAsia"/>
        </w:rPr>
        <w:t>(D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 xml:space="preserve">) </w:t>
      </w:r>
      <w:r w:rsidRPr="003674FB">
        <w:rPr>
          <w:rFonts w:eastAsiaTheme="minorEastAsia"/>
          <w:color w:val="000000" w:themeColor="text1"/>
        </w:rPr>
        <w:t xml:space="preserve">+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C2,t </w:t>
      </w:r>
      <w:r w:rsidRPr="003674FB">
        <w:rPr>
          <w:rFonts w:eastAsiaTheme="minorEastAsia"/>
          <w:color w:val="000000" w:themeColor="text1"/>
        </w:rPr>
        <w:t>– D</w:t>
      </w:r>
      <w:r w:rsidRPr="003674FB">
        <w:rPr>
          <w:rFonts w:eastAsiaTheme="minorEastAsia"/>
          <w:color w:val="000000" w:themeColor="text1"/>
          <w:vertAlign w:val="subscript"/>
        </w:rPr>
        <w:t>C2max,t</w:t>
      </w:r>
      <w:r w:rsidRPr="003674FB">
        <w:rPr>
          <w:rFonts w:eastAsiaTheme="minorEastAsia"/>
          <w:color w:val="000000" w:themeColor="text1"/>
        </w:rPr>
        <w:t xml:space="preserve">) </w:t>
      </w:r>
      <w:r w:rsidRPr="003674FB">
        <w:rPr>
          <w:rFonts w:eastAsiaTheme="minorEastAsia"/>
          <w:color w:val="000000" w:themeColor="text1"/>
        </w:rPr>
        <w:tab/>
      </w:r>
      <w:r w:rsidRPr="003674FB">
        <w:rPr>
          <w:rFonts w:eastAsiaTheme="minorEastAsia"/>
          <w:color w:val="000000" w:themeColor="text1"/>
        </w:rPr>
        <w:tab/>
      </w:r>
      <w:r w:rsidRPr="003674FB">
        <w:rPr>
          <w:rFonts w:eastAsiaTheme="minorEastAsia"/>
          <w:color w:val="000000" w:themeColor="text1"/>
        </w:rPr>
        <w:tab/>
      </w:r>
      <w:r w:rsidR="0082041E" w:rsidRPr="003674FB">
        <w:rPr>
          <w:rFonts w:eastAsiaTheme="minorEastAsia"/>
          <w:b/>
          <w:color w:val="000000" w:themeColor="text1"/>
        </w:rPr>
        <w:t>(3)</w:t>
      </w:r>
    </w:p>
    <w:p w14:paraId="13572D41" w14:textId="77777777" w:rsidR="00EE0446" w:rsidRDefault="00EE0446" w:rsidP="00EE0446">
      <w:pPr>
        <w:spacing w:line="360" w:lineRule="auto"/>
        <w:rPr>
          <w:rFonts w:eastAsiaTheme="minorEastAsia"/>
          <w:color w:val="000000" w:themeColor="text1"/>
        </w:rPr>
      </w:pPr>
    </w:p>
    <w:p w14:paraId="126FD9C1" w14:textId="77777777" w:rsidR="00EE0446" w:rsidRDefault="00EE0446" w:rsidP="00EE0446">
      <w:pPr>
        <w:spacing w:line="360" w:lineRule="auto"/>
        <w:rPr>
          <w:rFonts w:eastAsiaTheme="minorEastAsia"/>
          <w:shd w:val="clear" w:color="auto" w:fill="FFFFFF"/>
        </w:rPr>
      </w:pPr>
      <w:r w:rsidRPr="003674FB">
        <w:rPr>
          <w:rFonts w:eastAsiaTheme="minorEastAsia"/>
          <w:color w:val="000000" w:themeColor="text1"/>
        </w:rPr>
        <w:t xml:space="preserve">Other-regarding concerns may also restrain opportunistic behaviour. </w:t>
      </w:r>
      <w:r w:rsidRPr="003674FB">
        <w:rPr>
          <w:rFonts w:eastAsiaTheme="minorEastAsia"/>
          <w:shd w:val="clear" w:color="auto" w:fill="FFFFFF"/>
        </w:rPr>
        <w:t xml:space="preserve">This is consistent with </w:t>
      </w:r>
    </w:p>
    <w:p w14:paraId="68016AFF" w14:textId="466A5DFA" w:rsidR="00EE0446" w:rsidRPr="00245F90" w:rsidRDefault="00EE0446" w:rsidP="00EE0446">
      <w:pPr>
        <w:spacing w:line="360" w:lineRule="auto"/>
        <w:rPr>
          <w:rFonts w:eastAsiaTheme="minorEastAsia"/>
          <w:color w:val="000000" w:themeColor="text1"/>
        </w:rPr>
      </w:pPr>
      <w:r w:rsidRPr="00DA2021">
        <w:rPr>
          <w:color w:val="000000" w:themeColor="text1"/>
        </w:rPr>
        <w:t>Jolls, Sunstein and Thaler (1998)</w:t>
      </w:r>
      <w:r w:rsidRPr="00DA2021">
        <w:rPr>
          <w:rFonts w:eastAsiaTheme="minorEastAsia"/>
          <w:shd w:val="clear" w:color="auto" w:fill="FFFFFF"/>
        </w:rPr>
        <w:t xml:space="preserve"> who</w:t>
      </w:r>
      <w:r w:rsidRPr="00580479">
        <w:rPr>
          <w:rFonts w:eastAsiaTheme="minorEastAsia"/>
          <w:shd w:val="clear" w:color="auto" w:fill="FFFFFF"/>
        </w:rPr>
        <w:t xml:space="preserve"> asserted</w:t>
      </w:r>
      <w:r w:rsidRPr="003674FB">
        <w:rPr>
          <w:rFonts w:eastAsiaTheme="minorEastAsia"/>
          <w:shd w:val="clear" w:color="auto" w:fill="FFFFFF"/>
        </w:rPr>
        <w:t xml:space="preserve"> that people have a preference for their own material payoffs and reputation, but also obtain preferences about the well-being of those whose interests are at stake. A portion of lawyers may source disutility, of intensity </w:t>
      </w:r>
      <m:oMath>
        <m:r>
          <w:rPr>
            <w:rFonts w:ascii="Cambria Math" w:eastAsiaTheme="minorEastAsia" w:hAnsi="Cambria Math"/>
            <w:shd w:val="clear" w:color="auto" w:fill="FFFFFF"/>
          </w:rPr>
          <m:t>ε</m:t>
        </m:r>
      </m:oMath>
      <w:r w:rsidRPr="003674FB">
        <w:rPr>
          <w:rFonts w:eastAsiaTheme="minorEastAsia"/>
          <w:shd w:val="clear" w:color="auto" w:fill="FFFFFF"/>
        </w:rPr>
        <w:t>, when securing their client with a share,</w:t>
      </w:r>
      <w:r w:rsidRPr="003674FB">
        <w:rPr>
          <w:rFonts w:eastAsiaTheme="minorEastAsia"/>
        </w:rPr>
        <w:t xml:space="preserve"> D</w:t>
      </w:r>
      <w:r w:rsidRPr="003674FB">
        <w:rPr>
          <w:rFonts w:eastAsiaTheme="minorEastAsia"/>
          <w:vertAlign w:val="subscript"/>
        </w:rPr>
        <w:t>C2</w:t>
      </w:r>
      <w:r w:rsidRPr="003674FB">
        <w:rPr>
          <w:rFonts w:eastAsiaTheme="minorEastAsia"/>
          <w:color w:val="000000" w:themeColor="text1"/>
          <w:vertAlign w:val="subscript"/>
        </w:rPr>
        <w:t>,t</w:t>
      </w:r>
      <w:r w:rsidRPr="003674FB">
        <w:rPr>
          <w:rFonts w:eastAsiaTheme="minorEastAsia"/>
          <w:color w:val="000000" w:themeColor="text1"/>
        </w:rPr>
        <w:t>,</w:t>
      </w:r>
      <w:r w:rsidRPr="003674FB">
        <w:rPr>
          <w:rFonts w:eastAsiaTheme="minorEastAsia"/>
          <w:shd w:val="clear" w:color="auto" w:fill="FFFFFF"/>
        </w:rPr>
        <w:t xml:space="preserve"> that is lower than what could have been attained by settlin</w:t>
      </w:r>
      <w:r>
        <w:rPr>
          <w:rFonts w:eastAsiaTheme="minorEastAsia"/>
          <w:shd w:val="clear" w:color="auto" w:fill="FFFFFF"/>
        </w:rPr>
        <w:t xml:space="preserve">g (taking) earlier in the game. This may also be consistent with prior evidence of altruistic concerns for </w:t>
      </w:r>
      <w:r w:rsidRPr="00023DEF">
        <w:rPr>
          <w:rFonts w:eastAsiaTheme="minorEastAsia"/>
          <w:shd w:val="clear" w:color="auto" w:fill="FFFFFF"/>
        </w:rPr>
        <w:t xml:space="preserve">the </w:t>
      </w:r>
      <w:r w:rsidRPr="007B2CB8">
        <w:rPr>
          <w:rFonts w:eastAsiaTheme="minorEastAsia"/>
          <w:shd w:val="clear" w:color="auto" w:fill="FFFFFF"/>
        </w:rPr>
        <w:t xml:space="preserve">worse off (Andreoni and </w:t>
      </w:r>
      <w:r w:rsidRPr="008F7A8E">
        <w:rPr>
          <w:rFonts w:eastAsiaTheme="minorEastAsia"/>
          <w:shd w:val="clear" w:color="auto" w:fill="FFFFFF"/>
        </w:rPr>
        <w:t>Miller, 2002; Charness and Rabin, 20</w:t>
      </w:r>
      <w:r w:rsidR="0026506B" w:rsidRPr="008F7A8E">
        <w:rPr>
          <w:rFonts w:eastAsiaTheme="minorEastAsia"/>
          <w:shd w:val="clear" w:color="auto" w:fill="FFFFFF"/>
        </w:rPr>
        <w:t>02; Engelmann and Strobel, 2004</w:t>
      </w:r>
      <w:r w:rsidR="00E855AC">
        <w:rPr>
          <w:rFonts w:eastAsiaTheme="minorEastAsia"/>
          <w:shd w:val="clear" w:color="auto" w:fill="FFFFFF"/>
        </w:rPr>
        <w:t xml:space="preserve">). </w:t>
      </w:r>
      <w:r w:rsidRPr="004D26E6">
        <w:rPr>
          <w:rFonts w:eastAsiaTheme="minorEastAsia"/>
          <w:color w:val="000000" w:themeColor="text1"/>
        </w:rPr>
        <w:t>For</w:t>
      </w:r>
      <w:r w:rsidRPr="003674FB">
        <w:rPr>
          <w:rFonts w:eastAsiaTheme="minorEastAsia"/>
          <w:color w:val="000000" w:themeColor="text1"/>
        </w:rPr>
        <w:t xml:space="preserve"> example, should L</w:t>
      </w:r>
      <w:r w:rsidRPr="003674FB">
        <w:rPr>
          <w:rFonts w:eastAsiaTheme="minorEastAsia"/>
          <w:color w:val="000000" w:themeColor="text1"/>
          <w:vertAlign w:val="subscript"/>
        </w:rPr>
        <w:t>2</w:t>
      </w:r>
      <w:r w:rsidRPr="003674FB">
        <w:rPr>
          <w:rFonts w:eastAsiaTheme="minorEastAsia"/>
          <w:color w:val="000000" w:themeColor="text1"/>
        </w:rPr>
        <w:t xml:space="preserve"> lose at trial, they may empathise with their client and regret not securing a better outcome on their behalf by </w:t>
      </w:r>
      <w:r>
        <w:rPr>
          <w:rFonts w:eastAsiaTheme="minorEastAsia"/>
          <w:color w:val="000000" w:themeColor="text1"/>
        </w:rPr>
        <w:t>settling (</w:t>
      </w:r>
      <w:r w:rsidRPr="003674FB">
        <w:rPr>
          <w:rFonts w:eastAsiaTheme="minorEastAsia"/>
          <w:color w:val="000000" w:themeColor="text1"/>
        </w:rPr>
        <w:t>taking</w:t>
      </w:r>
      <w:r>
        <w:rPr>
          <w:rFonts w:eastAsiaTheme="minorEastAsia"/>
          <w:color w:val="000000" w:themeColor="text1"/>
        </w:rPr>
        <w:t>)</w:t>
      </w:r>
      <w:r w:rsidRPr="003674FB">
        <w:rPr>
          <w:rFonts w:eastAsiaTheme="minorEastAsia"/>
          <w:color w:val="000000" w:themeColor="text1"/>
        </w:rPr>
        <w:t xml:space="preserve"> </w:t>
      </w:r>
      <w:r>
        <w:rPr>
          <w:rFonts w:eastAsiaTheme="minorEastAsia"/>
          <w:color w:val="000000" w:themeColor="text1"/>
        </w:rPr>
        <w:t>earlier</w:t>
      </w:r>
      <w:r w:rsidRPr="003674FB">
        <w:rPr>
          <w:rFonts w:eastAsiaTheme="minorEastAsia"/>
          <w:color w:val="000000" w:themeColor="text1"/>
        </w:rPr>
        <w:t xml:space="preserve">. </w:t>
      </w:r>
      <w:r w:rsidR="00CC344C">
        <w:rPr>
          <w:rFonts w:eastAsiaTheme="minorEastAsia"/>
          <w:shd w:val="clear" w:color="auto" w:fill="FFFFFF"/>
        </w:rPr>
        <w:t xml:space="preserve">The intensity of other-regarding concerns, </w:t>
      </w:r>
      <m:oMath>
        <m:r>
          <w:rPr>
            <w:rFonts w:ascii="Cambria Math" w:eastAsiaTheme="minorEastAsia" w:hAnsi="Cambria Math"/>
            <w:shd w:val="clear" w:color="auto" w:fill="FFFFFF"/>
          </w:rPr>
          <m:t>ε</m:t>
        </m:r>
      </m:oMath>
      <w:r w:rsidR="00CC344C">
        <w:rPr>
          <w:rFonts w:eastAsiaTheme="minorEastAsia"/>
          <w:shd w:val="clear" w:color="auto" w:fill="FFFFFF"/>
        </w:rPr>
        <w:t xml:space="preserve">, may be influenced by lawyer-client relationship. This is </w:t>
      </w:r>
      <w:r w:rsidR="00CC344C" w:rsidRPr="002705E7">
        <w:rPr>
          <w:rFonts w:eastAsiaTheme="minorEastAsia"/>
          <w:shd w:val="clear" w:color="auto" w:fill="FFFFFF"/>
        </w:rPr>
        <w:t>consistent with Richmond (2008)</w:t>
      </w:r>
      <w:r w:rsidR="00CC344C">
        <w:rPr>
          <w:rFonts w:eastAsiaTheme="minorEastAsia"/>
          <w:shd w:val="clear" w:color="auto" w:fill="FFFFFF"/>
        </w:rPr>
        <w:t xml:space="preserve"> who suggested that firms encourage lawyers to interact with clients, as relationship-building is likely to induce lawyers to treat clients favourably with respect to billing practices.</w:t>
      </w:r>
      <w:r w:rsidR="00245F90">
        <w:rPr>
          <w:rFonts w:eastAsiaTheme="minorEastAsia"/>
          <w:color w:val="000000" w:themeColor="text1"/>
        </w:rPr>
        <w:t xml:space="preserve"> </w:t>
      </w:r>
      <w:r w:rsidRPr="003674FB">
        <w:rPr>
          <w:rFonts w:eastAsiaTheme="minorEastAsia"/>
          <w:shd w:val="clear" w:color="auto" w:fill="FFFFFF"/>
        </w:rPr>
        <w:t xml:space="preserve">Note, in the </w:t>
      </w:r>
      <w:r w:rsidR="00B8729E">
        <w:rPr>
          <w:rFonts w:eastAsia="Times New Roman"/>
        </w:rPr>
        <w:t>IDBG</w:t>
      </w:r>
      <w:r w:rsidRPr="003674FB">
        <w:rPr>
          <w:rFonts w:eastAsiaTheme="minorEastAsia"/>
          <w:shd w:val="clear" w:color="auto" w:fill="FFFFFF"/>
        </w:rPr>
        <w:t xml:space="preserve">, taking in the prior decision node will have secured a client with the largest </w:t>
      </w:r>
      <w:r>
        <w:rPr>
          <w:rFonts w:eastAsiaTheme="minorEastAsia"/>
          <w:shd w:val="clear" w:color="auto" w:fill="FFFFFF"/>
        </w:rPr>
        <w:t xml:space="preserve">(max) </w:t>
      </w:r>
      <w:r w:rsidRPr="003674FB">
        <w:rPr>
          <w:rFonts w:eastAsiaTheme="minorEastAsia"/>
          <w:shd w:val="clear" w:color="auto" w:fill="FFFFFF"/>
        </w:rPr>
        <w:t xml:space="preserve">share attainable to them thus far in the game (at node t), denoted by </w:t>
      </w:r>
      <w:r w:rsidRPr="003674FB">
        <w:rPr>
          <w:rFonts w:eastAsiaTheme="minorEastAsia"/>
          <w:color w:val="000000" w:themeColor="text1"/>
        </w:rPr>
        <w:t>D</w:t>
      </w:r>
      <w:r w:rsidRPr="003674FB">
        <w:rPr>
          <w:rFonts w:eastAsiaTheme="minorEastAsia"/>
          <w:color w:val="000000" w:themeColor="text1"/>
          <w:vertAlign w:val="subscript"/>
        </w:rPr>
        <w:t>C2max,t</w:t>
      </w:r>
      <w:r w:rsidRPr="003674FB">
        <w:rPr>
          <w:rFonts w:eastAsiaTheme="minorEastAsia"/>
          <w:color w:val="000000" w:themeColor="text1"/>
        </w:rPr>
        <w:t xml:space="preserve">. </w:t>
      </w:r>
      <w:r>
        <w:rPr>
          <w:rFonts w:eastAsiaTheme="minorEastAsia"/>
          <w:color w:val="000000" w:themeColor="text1"/>
        </w:rPr>
        <w:t xml:space="preserve">Accordingly, </w:t>
      </w:r>
      <w:r>
        <w:rPr>
          <w:rFonts w:eastAsiaTheme="minorEastAsia"/>
          <w:b/>
          <w:color w:val="000000" w:themeColor="text1"/>
        </w:rPr>
        <w:t>Utility Function</w:t>
      </w:r>
      <w:r w:rsidRPr="003674FB">
        <w:rPr>
          <w:rFonts w:eastAsiaTheme="minorEastAsia"/>
          <w:b/>
          <w:color w:val="000000" w:themeColor="text1"/>
        </w:rPr>
        <w:t xml:space="preserve"> (3) </w:t>
      </w:r>
      <w:r w:rsidRPr="003674FB">
        <w:rPr>
          <w:rFonts w:eastAsiaTheme="minorEastAsia"/>
          <w:color w:val="000000" w:themeColor="text1"/>
        </w:rPr>
        <w:t xml:space="preserve">illustrates how a portion of lawyers may source disutility if they secure their client’s with a distributive share, </w:t>
      </w:r>
      <w:r w:rsidRPr="003674FB">
        <w:rPr>
          <w:rFonts w:eastAsiaTheme="minorEastAsia"/>
        </w:rPr>
        <w:t>D</w:t>
      </w:r>
      <w:r w:rsidRPr="003674FB">
        <w:rPr>
          <w:rFonts w:eastAsiaTheme="minorEastAsia"/>
          <w:vertAlign w:val="subscript"/>
        </w:rPr>
        <w:t>C2</w:t>
      </w:r>
      <w:r w:rsidRPr="003674FB">
        <w:rPr>
          <w:rFonts w:eastAsiaTheme="minorEastAsia"/>
          <w:color w:val="000000" w:themeColor="text1"/>
          <w:vertAlign w:val="subscript"/>
        </w:rPr>
        <w:t>,t</w:t>
      </w:r>
      <w:r w:rsidRPr="003674FB">
        <w:rPr>
          <w:rFonts w:eastAsiaTheme="minorEastAsia"/>
          <w:color w:val="000000" w:themeColor="text1"/>
        </w:rPr>
        <w:t>, that is lower than D</w:t>
      </w:r>
      <w:r w:rsidRPr="003674FB">
        <w:rPr>
          <w:rFonts w:eastAsiaTheme="minorEastAsia"/>
          <w:color w:val="000000" w:themeColor="text1"/>
          <w:vertAlign w:val="subscript"/>
        </w:rPr>
        <w:t>C2max,t</w:t>
      </w:r>
      <w:r w:rsidRPr="003674FB">
        <w:rPr>
          <w:rFonts w:eastAsiaTheme="minorEastAsia"/>
          <w:color w:val="000000" w:themeColor="text1"/>
        </w:rPr>
        <w:t xml:space="preserve">. </w:t>
      </w:r>
    </w:p>
    <w:p w14:paraId="1972A715" w14:textId="77777777" w:rsidR="00EE0446" w:rsidRPr="003674FB" w:rsidRDefault="00EE0446" w:rsidP="00EE0446">
      <w:pPr>
        <w:spacing w:line="360" w:lineRule="auto"/>
        <w:rPr>
          <w:rFonts w:eastAsiaTheme="minorEastAsia"/>
          <w:shd w:val="clear" w:color="auto" w:fill="FFFFFF"/>
        </w:rPr>
      </w:pPr>
    </w:p>
    <w:p w14:paraId="5E80A06D" w14:textId="22FAD58C" w:rsidR="00EE0446" w:rsidRPr="003674FB" w:rsidRDefault="00EE0446" w:rsidP="00EE0446">
      <w:pPr>
        <w:spacing w:line="360" w:lineRule="auto"/>
        <w:rPr>
          <w:rFonts w:eastAsiaTheme="minorEastAsia"/>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L1,t</w:t>
      </w:r>
      <w:r w:rsidRPr="003674FB">
        <w:rPr>
          <w:rFonts w:eastAsiaTheme="minorEastAsia"/>
        </w:rPr>
        <w:t xml:space="preserve"> , X</w:t>
      </w:r>
      <w:r w:rsidRPr="003674FB">
        <w:rPr>
          <w:rFonts w:eastAsiaTheme="minorEastAsia"/>
          <w:vertAlign w:val="subscript"/>
        </w:rPr>
        <w:t>L2,t</w:t>
      </w:r>
      <w:r w:rsidRPr="003674FB">
        <w:rPr>
          <w:rFonts w:eastAsiaTheme="minorEastAsia"/>
        </w:rPr>
        <w:t xml:space="preserve"> , D</w:t>
      </w:r>
      <w:r w:rsidRPr="003674FB">
        <w:rPr>
          <w:rFonts w:eastAsiaTheme="minorEastAsia"/>
          <w:vertAlign w:val="subscript"/>
        </w:rPr>
        <w:t xml:space="preserve">C1,t </w:t>
      </w:r>
      <w:r w:rsidRPr="003674FB">
        <w:rPr>
          <w:rFonts w:eastAsiaTheme="minorEastAsia"/>
          <w:shd w:val="clear" w:color="auto" w:fill="FFFFFF"/>
        </w:rPr>
        <w:t xml:space="preserve">, </w:t>
      </w:r>
      <w:r w:rsidRPr="003674FB">
        <w:rPr>
          <w:rFonts w:eastAsiaTheme="minorEastAsia"/>
        </w:rPr>
        <w:t>D</w:t>
      </w:r>
      <w:r w:rsidRPr="003674FB">
        <w:rPr>
          <w:rFonts w:eastAsiaTheme="minorEastAsia"/>
          <w:vertAlign w:val="subscript"/>
        </w:rPr>
        <w:t>C2,t</w:t>
      </w:r>
      <w:r w:rsidRPr="003674FB">
        <w:rPr>
          <w:rFonts w:eastAsiaTheme="minorEastAsia"/>
        </w:rPr>
        <w:t xml:space="preserve">) = </w:t>
      </w:r>
      <w:r w:rsidRPr="003674FB">
        <w:t>X</w:t>
      </w:r>
      <w:r w:rsidRPr="003674FB">
        <w:rPr>
          <w:vertAlign w:val="subscript"/>
        </w:rPr>
        <w:t xml:space="preserve">L2,t  </w:t>
      </w:r>
      <w:r>
        <w:rPr>
          <w:rFonts w:eastAsiaTheme="minorEastAsia"/>
        </w:rPr>
        <w:t>+ r</w:t>
      </w:r>
      <w:r w:rsidRPr="003674FB">
        <w:rPr>
          <w:rFonts w:eastAsiaTheme="minorEastAsia"/>
        </w:rPr>
        <w:t>(D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 xml:space="preserve">) </w:t>
      </w:r>
      <w:r w:rsidRPr="003674FB">
        <w:rPr>
          <w:rFonts w:eastAsiaTheme="minorEastAsia"/>
          <w:color w:val="000000" w:themeColor="text1"/>
        </w:rPr>
        <w:t xml:space="preserve">+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C2,t </w:t>
      </w:r>
      <w:r w:rsidRPr="003674FB">
        <w:rPr>
          <w:rFonts w:eastAsiaTheme="minorEastAsia"/>
          <w:color w:val="000000" w:themeColor="text1"/>
        </w:rPr>
        <w:t>– D</w:t>
      </w:r>
      <w:r w:rsidRPr="003674FB">
        <w:rPr>
          <w:rFonts w:eastAsiaTheme="minorEastAsia"/>
          <w:color w:val="000000" w:themeColor="text1"/>
          <w:vertAlign w:val="subscript"/>
        </w:rPr>
        <w:t>C2max,t</w:t>
      </w:r>
      <w:r w:rsidRPr="003674FB">
        <w:rPr>
          <w:rFonts w:eastAsiaTheme="minorEastAsia"/>
          <w:color w:val="000000" w:themeColor="text1"/>
        </w:rPr>
        <w:t xml:space="preserve">) </w:t>
      </w:r>
      <w:r w:rsidRPr="003674FB">
        <w:rPr>
          <w:rFonts w:eastAsiaTheme="minorEastAsia"/>
          <w:shd w:val="clear" w:color="auto" w:fill="FFFFFF"/>
        </w:rPr>
        <w:t xml:space="preserve">- </w:t>
      </w:r>
      <m:oMath>
        <m:r>
          <w:rPr>
            <w:rFonts w:ascii="Cambria Math" w:eastAsiaTheme="minorEastAsia" w:hAnsi="Cambria Math"/>
          </w:rPr>
          <m:t>α</m:t>
        </m:r>
      </m:oMath>
      <w:r w:rsidRPr="003674FB">
        <w:rPr>
          <w:rFonts w:eastAsiaTheme="minorEastAsia"/>
          <w:vertAlign w:val="subscript"/>
        </w:rPr>
        <w:t xml:space="preserve"> </w:t>
      </w:r>
      <w:r w:rsidRPr="003674FB">
        <w:rPr>
          <w:rFonts w:eastAsiaTheme="minorEastAsia"/>
        </w:rPr>
        <w:t>max (</w:t>
      </w:r>
      <w:r w:rsidRPr="003674FB">
        <w:t>X</w:t>
      </w:r>
      <w:r w:rsidRPr="003674FB">
        <w:rPr>
          <w:vertAlign w:val="subscript"/>
        </w:rPr>
        <w:t xml:space="preserve">L1,t </w:t>
      </w:r>
      <w:r>
        <w:rPr>
          <w:vertAlign w:val="subscript"/>
        </w:rPr>
        <w:t xml:space="preserve"> </w:t>
      </w:r>
      <w:r w:rsidRPr="003674FB">
        <w:t>– X</w:t>
      </w:r>
      <w:r w:rsidRPr="003674FB">
        <w:rPr>
          <w:vertAlign w:val="subscript"/>
        </w:rPr>
        <w:t>L2,t</w:t>
      </w:r>
      <w:r w:rsidRPr="003674FB">
        <w:t xml:space="preserve">, 0) </w:t>
      </w:r>
      <m:oMath>
        <m:r>
          <m:rPr>
            <m:sty m:val="p"/>
          </m:rPr>
          <w:rPr>
            <w:rFonts w:ascii="Cambria Math" w:eastAsiaTheme="minorEastAsia" w:hAnsi="Cambria Math"/>
          </w:rPr>
          <m:t>±</m:t>
        </m:r>
      </m:oMath>
      <w:r w:rsidRPr="003674FB">
        <w:rPr>
          <w:rFonts w:eastAsiaTheme="minorEastAsia"/>
        </w:rPr>
        <w:t xml:space="preserve"> </w:t>
      </w:r>
      <m:oMath>
        <m:r>
          <w:rPr>
            <w:rFonts w:ascii="Cambria Math" w:eastAsiaTheme="minorEastAsia" w:hAnsi="Cambria Math"/>
          </w:rPr>
          <m:t>β</m:t>
        </m:r>
      </m:oMath>
      <w:r w:rsidRPr="003674FB">
        <w:rPr>
          <w:rFonts w:eastAsiaTheme="minorEastAsia"/>
          <w:vertAlign w:val="subscript"/>
        </w:rPr>
        <w:t xml:space="preserve"> </w:t>
      </w:r>
      <w:r w:rsidRPr="003674FB">
        <w:rPr>
          <w:rFonts w:eastAsiaTheme="minorEastAsia"/>
        </w:rPr>
        <w:t>max (X</w:t>
      </w:r>
      <w:r w:rsidRPr="003674FB">
        <w:rPr>
          <w:rFonts w:eastAsiaTheme="minorEastAsia"/>
          <w:vertAlign w:val="subscript"/>
        </w:rPr>
        <w:t xml:space="preserve">L2,t </w:t>
      </w:r>
      <w:r w:rsidRPr="003674FB">
        <w:rPr>
          <w:rFonts w:eastAsiaTheme="minorEastAsia"/>
        </w:rPr>
        <w:t>– X</w:t>
      </w:r>
      <w:r w:rsidRPr="003674FB">
        <w:rPr>
          <w:rFonts w:eastAsiaTheme="minorEastAsia"/>
          <w:vertAlign w:val="subscript"/>
        </w:rPr>
        <w:t>L1,t</w:t>
      </w:r>
      <w:r w:rsidRPr="003674FB">
        <w:rPr>
          <w:rFonts w:eastAsiaTheme="minorEastAsia"/>
        </w:rPr>
        <w:t>, 0)</w:t>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r>
      <w:r w:rsidRPr="003674FB">
        <w:rPr>
          <w:rFonts w:eastAsiaTheme="minorEastAsia"/>
        </w:rPr>
        <w:tab/>
        <w:t xml:space="preserve"> </w:t>
      </w:r>
      <w:r w:rsidRPr="003674FB">
        <w:rPr>
          <w:rFonts w:eastAsiaTheme="minorEastAsia"/>
          <w:b/>
        </w:rPr>
        <w:t>(4)</w:t>
      </w:r>
    </w:p>
    <w:p w14:paraId="07976099" w14:textId="77777777" w:rsidR="00EE0446" w:rsidRDefault="00EE0446" w:rsidP="00EE0446">
      <w:pPr>
        <w:spacing w:line="360" w:lineRule="auto"/>
        <w:rPr>
          <w:rFonts w:eastAsia="Times New Roman"/>
          <w:color w:val="000000"/>
        </w:rPr>
      </w:pPr>
    </w:p>
    <w:p w14:paraId="1AD454C7" w14:textId="69A92A93" w:rsidR="00EE0446" w:rsidRPr="00D36709" w:rsidRDefault="00EE0446" w:rsidP="00EE0446">
      <w:pPr>
        <w:spacing w:line="360" w:lineRule="auto"/>
        <w:rPr>
          <w:rFonts w:eastAsiaTheme="minorEastAsia"/>
          <w:shd w:val="clear" w:color="auto" w:fill="FFFFFF"/>
        </w:rPr>
      </w:pPr>
      <w:r w:rsidRPr="00EA15F3">
        <w:rPr>
          <w:rFonts w:eastAsia="Times New Roman"/>
          <w:color w:val="000000"/>
        </w:rPr>
        <w:t xml:space="preserve">In the </w:t>
      </w:r>
      <w:r w:rsidR="00B8729E">
        <w:rPr>
          <w:rFonts w:eastAsia="Times New Roman"/>
        </w:rPr>
        <w:t>IDBG</w:t>
      </w:r>
      <w:r w:rsidRPr="00EA15F3">
        <w:rPr>
          <w:rFonts w:eastAsia="Times New Roman"/>
          <w:color w:val="000000"/>
        </w:rPr>
        <w:t xml:space="preserve">, lawyers </w:t>
      </w:r>
      <w:r w:rsidRPr="00EA15F3">
        <w:rPr>
          <w:rFonts w:eastAsia="Times New Roman"/>
          <w:color w:val="000000" w:themeColor="text1"/>
        </w:rPr>
        <w:t xml:space="preserve">have complete information. </w:t>
      </w:r>
      <w:r w:rsidRPr="00EA15F3">
        <w:rPr>
          <w:rFonts w:eastAsia="Times New Roman"/>
          <w:color w:val="000000"/>
        </w:rPr>
        <w:t xml:space="preserve">Consistent with the literature </w:t>
      </w:r>
      <w:r w:rsidRPr="00EA15F3">
        <w:t>(Loewenstein et a</w:t>
      </w:r>
      <w:r w:rsidRPr="00EA15F3">
        <w:rPr>
          <w:color w:val="000000" w:themeColor="text1"/>
        </w:rPr>
        <w:t>l., 1993; Jolls</w:t>
      </w:r>
      <w:r w:rsidRPr="00DA2021">
        <w:rPr>
          <w:color w:val="000000" w:themeColor="text1"/>
        </w:rPr>
        <w:t xml:space="preserve"> et al., 1998; Fehr</w:t>
      </w:r>
      <w:r w:rsidRPr="008F7A8E">
        <w:rPr>
          <w:color w:val="000000" w:themeColor="text1"/>
        </w:rPr>
        <w:t xml:space="preserve"> and Schmidt, 1999; Bolton and Ockenfels, 2000</w:t>
      </w:r>
      <w:r w:rsidRPr="00730790">
        <w:rPr>
          <w:color w:val="000000" w:themeColor="text1"/>
        </w:rPr>
        <w:t>; Diaz et al., 2021</w:t>
      </w:r>
      <w:r w:rsidR="0026506B" w:rsidRPr="00730790">
        <w:rPr>
          <w:color w:val="000000" w:themeColor="text1"/>
        </w:rPr>
        <w:t xml:space="preserve">), </w:t>
      </w:r>
      <w:r w:rsidRPr="00730790">
        <w:rPr>
          <w:color w:val="000000" w:themeColor="text1"/>
        </w:rPr>
        <w:t>some</w:t>
      </w:r>
      <w:r w:rsidRPr="003674FB">
        <w:rPr>
          <w:color w:val="000000" w:themeColor="text1"/>
        </w:rPr>
        <w:t xml:space="preserve"> lawyers may experience disutility if they are made worse off ‘envy’ or better off ‘guilt’ in material terms than their peers.</w:t>
      </w:r>
      <w:r>
        <w:rPr>
          <w:rStyle w:val="FootnoteReference"/>
          <w:color w:val="000000" w:themeColor="text1"/>
        </w:rPr>
        <w:footnoteReference w:id="35"/>
      </w:r>
      <w:r w:rsidRPr="003674FB">
        <w:rPr>
          <w:color w:val="000000" w:themeColor="text1"/>
        </w:rPr>
        <w:t xml:space="preserve"> </w:t>
      </w:r>
      <w:r>
        <w:rPr>
          <w:b/>
          <w:color w:val="000000" w:themeColor="text1"/>
        </w:rPr>
        <w:t>Utility Function</w:t>
      </w:r>
      <w:r w:rsidRPr="003674FB">
        <w:rPr>
          <w:b/>
          <w:color w:val="000000" w:themeColor="text1"/>
        </w:rPr>
        <w:t xml:space="preserve"> (4) </w:t>
      </w:r>
      <w:r w:rsidRPr="009E33FB">
        <w:rPr>
          <w:color w:val="000000" w:themeColor="text1"/>
        </w:rPr>
        <w:t xml:space="preserve">adopts </w:t>
      </w:r>
      <w:r w:rsidRPr="008F7A8E">
        <w:rPr>
          <w:color w:val="000000" w:themeColor="text1"/>
        </w:rPr>
        <w:t>Fehr and Schmidt’s (1999) inequity</w:t>
      </w:r>
      <w:r w:rsidRPr="003674FB">
        <w:rPr>
          <w:color w:val="000000" w:themeColor="text1"/>
        </w:rPr>
        <w:t>-aversion model</w:t>
      </w:r>
      <w:r>
        <w:rPr>
          <w:color w:val="000000" w:themeColor="text1"/>
        </w:rPr>
        <w:t xml:space="preserve">, henceforth FS. </w:t>
      </w:r>
      <w:r w:rsidRPr="003674FB">
        <w:rPr>
          <w:rFonts w:eastAsiaTheme="minorEastAsia"/>
          <w:bCs/>
          <w:iCs/>
          <w:shd w:val="clear" w:color="auto" w:fill="FFFFFF"/>
        </w:rPr>
        <w:t xml:space="preserve">Parameter </w:t>
      </w:r>
      <m:oMath>
        <m:r>
          <w:rPr>
            <w:rFonts w:ascii="Cambria Math" w:hAnsi="Cambria Math"/>
            <w:shd w:val="clear" w:color="auto" w:fill="FFFFFF"/>
          </w:rPr>
          <m:t>α</m:t>
        </m:r>
      </m:oMath>
      <w:r w:rsidRPr="003674FB">
        <w:rPr>
          <w:rFonts w:eastAsiaTheme="minorEastAsia"/>
          <w:shd w:val="clear" w:color="auto" w:fill="FFFFFF"/>
        </w:rPr>
        <w:t xml:space="preserve"> denotes the intensity of disutility from disadvantageous inequity while Parameter </w:t>
      </w:r>
      <m:oMath>
        <m:r>
          <w:rPr>
            <w:rFonts w:ascii="Cambria Math" w:hAnsi="Cambria Math"/>
            <w:shd w:val="clear" w:color="auto" w:fill="FFFFFF"/>
          </w:rPr>
          <m:t>β</m:t>
        </m:r>
      </m:oMath>
      <w:r w:rsidRPr="003674FB">
        <w:rPr>
          <w:rFonts w:eastAsiaTheme="minorEastAsia"/>
          <w:shd w:val="clear" w:color="auto" w:fill="FFFFFF"/>
        </w:rPr>
        <w:t xml:space="preserve"> denotes the intensity of (dis)utility sourced from advantageous inequity. For example, should L</w:t>
      </w:r>
      <w:r w:rsidRPr="003674FB">
        <w:rPr>
          <w:rFonts w:eastAsiaTheme="minorEastAsia"/>
          <w:shd w:val="clear" w:color="auto" w:fill="FFFFFF"/>
          <w:vertAlign w:val="subscript"/>
        </w:rPr>
        <w:t>2</w:t>
      </w:r>
      <w:r w:rsidRPr="003674FB">
        <w:rPr>
          <w:rFonts w:eastAsiaTheme="minorEastAsia"/>
          <w:shd w:val="clear" w:color="auto" w:fill="FFFFFF"/>
        </w:rPr>
        <w:t xml:space="preserve"> earn less than L</w:t>
      </w:r>
      <w:r w:rsidRPr="003674FB">
        <w:rPr>
          <w:rFonts w:eastAsiaTheme="minorEastAsia"/>
          <w:shd w:val="clear" w:color="auto" w:fill="FFFFFF"/>
          <w:vertAlign w:val="subscript"/>
        </w:rPr>
        <w:t xml:space="preserve">1 </w:t>
      </w:r>
      <w:r w:rsidRPr="003674FB">
        <w:rPr>
          <w:rFonts w:eastAsiaTheme="minorEastAsia"/>
          <w:shd w:val="clear" w:color="auto" w:fill="FFFFFF"/>
        </w:rPr>
        <w:t>(</w:t>
      </w:r>
      <w:r w:rsidRPr="003674FB">
        <w:t>X</w:t>
      </w:r>
      <w:r w:rsidRPr="003674FB">
        <w:rPr>
          <w:vertAlign w:val="subscript"/>
        </w:rPr>
        <w:t xml:space="preserve">L1,t </w:t>
      </w:r>
      <w:r w:rsidRPr="003674FB">
        <w:t>&gt; X</w:t>
      </w:r>
      <w:r w:rsidRPr="003674FB">
        <w:rPr>
          <w:vertAlign w:val="subscript"/>
        </w:rPr>
        <w:t>L2,t</w:t>
      </w:r>
      <w:r w:rsidRPr="003674FB">
        <w:t>)</w:t>
      </w:r>
      <w:r w:rsidRPr="003674FB">
        <w:rPr>
          <w:rFonts w:eastAsiaTheme="minorEastAsia"/>
          <w:shd w:val="clear" w:color="auto" w:fill="FFFFFF"/>
        </w:rPr>
        <w:t>, L</w:t>
      </w:r>
      <w:r w:rsidRPr="003674FB">
        <w:rPr>
          <w:rFonts w:eastAsiaTheme="minorEastAsia"/>
          <w:shd w:val="clear" w:color="auto" w:fill="FFFFFF"/>
          <w:vertAlign w:val="subscript"/>
        </w:rPr>
        <w:t xml:space="preserve">2 </w:t>
      </w:r>
      <w:r w:rsidRPr="003674FB">
        <w:rPr>
          <w:rFonts w:eastAsiaTheme="minorEastAsia"/>
          <w:shd w:val="clear" w:color="auto" w:fill="FFFFFF"/>
        </w:rPr>
        <w:t>will experience disutility equal to</w:t>
      </w:r>
      <w:r w:rsidR="0026506B">
        <w:rPr>
          <w:rFonts w:eastAsiaTheme="minorEastAsia"/>
          <w:shd w:val="clear" w:color="auto" w:fill="FFFFFF"/>
        </w:rPr>
        <w:t xml:space="preserve"> </w:t>
      </w:r>
      <m:oMath>
        <m:r>
          <w:rPr>
            <w:rFonts w:ascii="Cambria Math" w:eastAsiaTheme="minorEastAsia" w:hAnsi="Cambria Math"/>
          </w:rPr>
          <m:t>α</m:t>
        </m:r>
      </m:oMath>
      <w:r w:rsidRPr="003674FB">
        <w:rPr>
          <w:rFonts w:eastAsiaTheme="minorEastAsia"/>
        </w:rPr>
        <w:t>(</w:t>
      </w:r>
      <w:r w:rsidRPr="003674FB">
        <w:t>X</w:t>
      </w:r>
      <w:r w:rsidRPr="003674FB">
        <w:rPr>
          <w:vertAlign w:val="subscript"/>
        </w:rPr>
        <w:t xml:space="preserve">L1,t </w:t>
      </w:r>
      <w:r w:rsidRPr="003674FB">
        <w:t>– X</w:t>
      </w:r>
      <w:r w:rsidRPr="003674FB">
        <w:rPr>
          <w:vertAlign w:val="subscript"/>
        </w:rPr>
        <w:t>L2,t</w:t>
      </w:r>
      <w:r w:rsidRPr="003674FB">
        <w:t>)</w:t>
      </w:r>
      <w:r w:rsidRPr="003674FB">
        <w:rPr>
          <w:rFonts w:eastAsiaTheme="minorEastAsia"/>
          <w:shd w:val="clear" w:color="auto" w:fill="FFFFFF"/>
        </w:rPr>
        <w:t xml:space="preserve">. </w:t>
      </w:r>
      <w:r w:rsidRPr="003674FB">
        <w:rPr>
          <w:rFonts w:eastAsiaTheme="minorEastAsia"/>
        </w:rPr>
        <w:t xml:space="preserve">The paper adopts </w:t>
      </w:r>
      <w:r>
        <w:rPr>
          <w:rFonts w:eastAsiaTheme="minorEastAsia"/>
        </w:rPr>
        <w:t>the FS</w:t>
      </w:r>
      <w:r w:rsidRPr="003674FB">
        <w:rPr>
          <w:rFonts w:eastAsiaTheme="minorEastAsia"/>
        </w:rPr>
        <w:t xml:space="preserve"> specifically, because it is an outcome-based model as opposed to an intention-based model.</w:t>
      </w:r>
      <w:r w:rsidRPr="003674FB">
        <w:rPr>
          <w:rStyle w:val="FootnoteReference"/>
          <w:color w:val="000000" w:themeColor="text1"/>
        </w:rPr>
        <w:footnoteReference w:id="36"/>
      </w:r>
      <w:r w:rsidRPr="003674FB">
        <w:rPr>
          <w:rFonts w:eastAsiaTheme="minorEastAsia"/>
        </w:rPr>
        <w:t xml:space="preserve"> This is congruent with the fact that players are only made cognizant of the actions of other players as opposed to their true intentions. </w:t>
      </w:r>
      <w:r>
        <w:rPr>
          <w:rFonts w:eastAsiaTheme="minorEastAsia"/>
          <w:shd w:val="clear" w:color="auto" w:fill="FFFFFF"/>
        </w:rPr>
        <w:t>Unlike the FS,</w:t>
      </w:r>
      <w:r w:rsidRPr="003674FB">
        <w:rPr>
          <w:rFonts w:eastAsiaTheme="minorEastAsia"/>
          <w:shd w:val="clear" w:color="auto" w:fill="FFFFFF"/>
        </w:rPr>
        <w:t xml:space="preserve"> </w:t>
      </w:r>
      <w:r w:rsidRPr="003674FB">
        <w:rPr>
          <w:rFonts w:eastAsiaTheme="minorEastAsia"/>
          <w:b/>
          <w:shd w:val="clear" w:color="auto" w:fill="FFFFFF"/>
        </w:rPr>
        <w:t>U</w:t>
      </w:r>
      <w:r w:rsidRPr="003674FB">
        <w:rPr>
          <w:rFonts w:eastAsiaTheme="minorEastAsia"/>
          <w:b/>
          <w:vertAlign w:val="subscript"/>
        </w:rPr>
        <w:t>L2,t</w:t>
      </w:r>
      <w:r w:rsidRPr="003674FB">
        <w:rPr>
          <w:rFonts w:eastAsiaTheme="minorEastAsia"/>
          <w:shd w:val="clear" w:color="auto" w:fill="FFFFFF"/>
        </w:rPr>
        <w:t xml:space="preserve"> suggests that in real-life, a portion of lawyers may source utility from advantageous inequity. </w:t>
      </w:r>
    </w:p>
    <w:p w14:paraId="5EC50738" w14:textId="25CF99FD" w:rsidR="00EE0446" w:rsidRPr="00245F90" w:rsidRDefault="00EE0446" w:rsidP="00245F90">
      <w:pPr>
        <w:pStyle w:val="ListParagraph"/>
        <w:numPr>
          <w:ilvl w:val="0"/>
          <w:numId w:val="1"/>
        </w:numPr>
        <w:spacing w:line="360" w:lineRule="auto"/>
        <w:rPr>
          <w:rFonts w:eastAsiaTheme="minorEastAsia"/>
          <w:b/>
          <w:shd w:val="clear" w:color="auto" w:fill="FFFFFF"/>
        </w:rPr>
      </w:pPr>
      <w:r w:rsidRPr="00245F90">
        <w:rPr>
          <w:rFonts w:eastAsiaTheme="minorEastAsia"/>
          <w:b/>
          <w:shd w:val="clear" w:color="auto" w:fill="FFFFFF"/>
        </w:rPr>
        <w:t xml:space="preserve">The Typical Lawyer   </w:t>
      </w:r>
    </w:p>
    <w:p w14:paraId="34609945" w14:textId="575B8112" w:rsidR="00EE0446" w:rsidRDefault="00EE0446" w:rsidP="00EE0446">
      <w:pPr>
        <w:spacing w:line="360" w:lineRule="auto"/>
        <w:rPr>
          <w:rFonts w:eastAsiaTheme="minorEastAsia"/>
          <w:color w:val="000000" w:themeColor="text1"/>
          <w:shd w:val="clear" w:color="auto" w:fill="FFFFFF"/>
        </w:rPr>
      </w:pPr>
      <w:r>
        <w:rPr>
          <w:rFonts w:eastAsiaTheme="minorEastAsia"/>
          <w:color w:val="000000" w:themeColor="text1"/>
          <w:shd w:val="clear" w:color="auto" w:fill="FFFFFF"/>
        </w:rPr>
        <w:t>This paper</w:t>
      </w:r>
      <w:r w:rsidRPr="004B4FED">
        <w:rPr>
          <w:rFonts w:eastAsiaTheme="minorEastAsia"/>
          <w:color w:val="000000" w:themeColor="text1"/>
          <w:shd w:val="clear" w:color="auto" w:fill="FFFFFF"/>
        </w:rPr>
        <w:t xml:space="preserve"> makes assumptions about the ‘typical lawyer’, a representative of the population of lawyers, who serves as the basis for the derived propositions. </w:t>
      </w:r>
      <w:r w:rsidR="0011632D">
        <w:rPr>
          <w:rFonts w:eastAsiaTheme="minorEastAsia"/>
          <w:color w:val="000000" w:themeColor="text1"/>
          <w:shd w:val="clear" w:color="auto" w:fill="FFFFFF"/>
        </w:rPr>
        <w:t xml:space="preserve">These assumptions are common knowledge. </w:t>
      </w:r>
      <w:r w:rsidRPr="00584FD0">
        <w:rPr>
          <w:rFonts w:eastAsiaTheme="minorEastAsia"/>
          <w:color w:val="000000" w:themeColor="text1"/>
          <w:shd w:val="clear" w:color="auto" w:fill="FFFFFF"/>
        </w:rPr>
        <w:t>Consistent with Miller’s (1987) premise, the typical lawyer is assumed to be ‘risk-averse’. Accordingly, in the</w:t>
      </w:r>
      <w:r w:rsidRPr="004B4FED">
        <w:rPr>
          <w:rFonts w:eastAsiaTheme="minorEastAsia"/>
          <w:color w:val="000000" w:themeColor="text1"/>
          <w:shd w:val="clear" w:color="auto" w:fill="FFFFFF"/>
        </w:rPr>
        <w:t xml:space="preserve"> </w:t>
      </w:r>
      <w:r w:rsidR="00B8729E">
        <w:rPr>
          <w:rFonts w:eastAsia="Times New Roman"/>
        </w:rPr>
        <w:t>IDBG</w:t>
      </w:r>
      <w:r w:rsidRPr="004B4FED">
        <w:rPr>
          <w:rFonts w:eastAsiaTheme="minorEastAsia"/>
          <w:color w:val="000000" w:themeColor="text1"/>
          <w:shd w:val="clear" w:color="auto" w:fill="FFFFFF"/>
        </w:rPr>
        <w:t xml:space="preserve">, lawyers will not choose to ‘pass’ unless doing so will increase their utility, even if their rival </w:t>
      </w:r>
      <w:r>
        <w:rPr>
          <w:rFonts w:eastAsiaTheme="minorEastAsia"/>
          <w:color w:val="000000" w:themeColor="text1"/>
          <w:shd w:val="clear" w:color="auto" w:fill="FFFFFF"/>
        </w:rPr>
        <w:t>would choose</w:t>
      </w:r>
      <w:r w:rsidRPr="004B4FED">
        <w:rPr>
          <w:rFonts w:eastAsiaTheme="minorEastAsia"/>
          <w:color w:val="000000" w:themeColor="text1"/>
          <w:shd w:val="clear" w:color="auto" w:fill="FFFFFF"/>
        </w:rPr>
        <w:t xml:space="preserve"> to ‘take’ in a subsequent node. </w:t>
      </w:r>
      <w:r w:rsidR="00720FCD" w:rsidRPr="004B4FED">
        <w:rPr>
          <w:rFonts w:eastAsiaTheme="minorEastAsia"/>
          <w:color w:val="000000" w:themeColor="text1"/>
          <w:shd w:val="clear" w:color="auto" w:fill="FFFFFF"/>
        </w:rPr>
        <w:t xml:space="preserve">The typical lawyer is </w:t>
      </w:r>
      <w:r w:rsidR="00720FCD">
        <w:rPr>
          <w:rFonts w:eastAsiaTheme="minorEastAsia"/>
          <w:color w:val="000000" w:themeColor="text1"/>
          <w:shd w:val="clear" w:color="auto" w:fill="FFFFFF"/>
        </w:rPr>
        <w:t xml:space="preserve">assumed to only be averse to disadvantageous inequity. A typical lawyer is assumed to be either indifferent to advantageous inequity, in that they source negligible </w:t>
      </w:r>
      <m:oMath>
        <m:r>
          <w:rPr>
            <w:rFonts w:ascii="Cambria Math" w:hAnsi="Cambria Math"/>
            <w:color w:val="000000" w:themeColor="text1"/>
            <w:shd w:val="clear" w:color="auto" w:fill="FFFFFF"/>
          </w:rPr>
          <m:t>β</m:t>
        </m:r>
      </m:oMath>
      <w:r w:rsidR="00720FCD">
        <w:rPr>
          <w:rFonts w:eastAsiaTheme="minorEastAsia"/>
          <w:color w:val="000000" w:themeColor="text1"/>
          <w:shd w:val="clear" w:color="auto" w:fill="FFFFFF"/>
        </w:rPr>
        <w:t xml:space="preserve">, or alternatively, source utility from advantageous inequity. </w:t>
      </w:r>
      <w:r w:rsidR="00245F90">
        <w:rPr>
          <w:rFonts w:eastAsiaTheme="minorEastAsia"/>
          <w:color w:val="000000" w:themeColor="text1"/>
          <w:shd w:val="clear" w:color="auto" w:fill="FFFFFF"/>
        </w:rPr>
        <w:t xml:space="preserve">This is consistent </w:t>
      </w:r>
      <w:r w:rsidR="00245F90" w:rsidRPr="002705E7">
        <w:rPr>
          <w:rFonts w:eastAsiaTheme="minorEastAsia"/>
          <w:color w:val="000000" w:themeColor="text1"/>
          <w:shd w:val="clear" w:color="auto" w:fill="FFFFFF"/>
        </w:rPr>
        <w:t>with Richmond (2008)</w:t>
      </w:r>
      <w:r w:rsidR="00245F90">
        <w:rPr>
          <w:rFonts w:eastAsiaTheme="minorEastAsia"/>
          <w:color w:val="000000" w:themeColor="text1"/>
          <w:shd w:val="clear" w:color="auto" w:fill="FFFFFF"/>
        </w:rPr>
        <w:t xml:space="preserve"> who discussed lawyers’ competitiveness and internal competition amongst lawyers as a motivation to overbill.</w:t>
      </w:r>
      <w:r w:rsidR="00245F90">
        <w:rPr>
          <w:rStyle w:val="FootnoteReference"/>
          <w:rFonts w:eastAsiaTheme="minorEastAsia"/>
          <w:color w:val="000000" w:themeColor="text1"/>
          <w:shd w:val="clear" w:color="auto" w:fill="FFFFFF"/>
        </w:rPr>
        <w:footnoteReference w:id="37"/>
      </w:r>
      <w:r w:rsidR="00245F90">
        <w:rPr>
          <w:rFonts w:eastAsiaTheme="minorEastAsia"/>
          <w:color w:val="000000" w:themeColor="text1"/>
          <w:shd w:val="clear" w:color="auto" w:fill="FFFFFF"/>
        </w:rPr>
        <w:t xml:space="preserve"> </w:t>
      </w:r>
      <w:r w:rsidRPr="004B4FED">
        <w:rPr>
          <w:rFonts w:eastAsiaTheme="minorEastAsia"/>
          <w:color w:val="000000" w:themeColor="text1"/>
          <w:shd w:val="clear" w:color="auto" w:fill="FFFFFF"/>
        </w:rPr>
        <w:t xml:space="preserve">Finally, the intensity of </w:t>
      </w:r>
      <m:oMath>
        <m:r>
          <w:rPr>
            <w:rFonts w:ascii="Cambria Math" w:eastAsiaTheme="minorEastAsia" w:hAnsi="Cambria Math"/>
            <w:color w:val="000000" w:themeColor="text1"/>
            <w:shd w:val="clear" w:color="auto" w:fill="FFFFFF"/>
          </w:rPr>
          <m:t>ε</m:t>
        </m:r>
      </m:oMath>
      <w:r w:rsidRPr="004B4FED">
        <w:rPr>
          <w:rFonts w:eastAsiaTheme="minorEastAsia"/>
          <w:color w:val="000000" w:themeColor="text1"/>
          <w:shd w:val="clear" w:color="auto" w:fill="FFFFFF"/>
        </w:rPr>
        <w:t xml:space="preserve"> is assumed low such that the </w:t>
      </w:r>
      <w:r w:rsidRPr="00ED2124">
        <w:rPr>
          <w:rFonts w:eastAsiaTheme="minorEastAsia"/>
          <w:color w:val="000000" w:themeColor="text1"/>
          <w:shd w:val="clear" w:color="auto" w:fill="FFFFFF"/>
        </w:rPr>
        <w:t xml:space="preserve">lawyer will source relatively little disutility from other-regarding concerns. This is consistent with </w:t>
      </w:r>
      <w:r w:rsidRPr="00DA2021">
        <w:rPr>
          <w:rFonts w:eastAsiaTheme="minorEastAsia"/>
          <w:color w:val="000000" w:themeColor="text1"/>
          <w:shd w:val="clear" w:color="auto" w:fill="FFFFFF"/>
        </w:rPr>
        <w:t>Eisenberg’s (1976) consideration of the emotional detachment amongst lawyers, Gerdy’s (2008) consideration</w:t>
      </w:r>
      <w:r w:rsidRPr="00580479">
        <w:rPr>
          <w:rFonts w:eastAsiaTheme="minorEastAsia"/>
          <w:color w:val="000000" w:themeColor="text1"/>
          <w:shd w:val="clear" w:color="auto" w:fill="FFFFFF"/>
        </w:rPr>
        <w:t xml:space="preserve"> of the systematic negligence of empathy in formal legal education and </w:t>
      </w:r>
      <w:r w:rsidRPr="00CF4271">
        <w:rPr>
          <w:rFonts w:eastAsiaTheme="minorEastAsia"/>
          <w:color w:val="000000" w:themeColor="text1"/>
          <w:shd w:val="clear" w:color="auto" w:fill="FFFFFF"/>
        </w:rPr>
        <w:t>Korobkin’s (2020) assertion</w:t>
      </w:r>
      <w:r w:rsidRPr="004B4FED">
        <w:rPr>
          <w:rFonts w:eastAsiaTheme="minorEastAsia"/>
          <w:color w:val="000000" w:themeColor="text1"/>
          <w:shd w:val="clear" w:color="auto" w:fill="FFFFFF"/>
        </w:rPr>
        <w:t xml:space="preserve"> that the law journal literature on negotiation ethics is relatively sparse.</w:t>
      </w:r>
      <w:r w:rsidR="005A0E14" w:rsidRPr="004B4FED">
        <w:rPr>
          <w:rFonts w:eastAsiaTheme="minorEastAsia"/>
          <w:color w:val="000000" w:themeColor="text1"/>
          <w:shd w:val="clear" w:color="auto" w:fill="FFFFFF"/>
        </w:rPr>
        <w:t xml:space="preserve"> </w:t>
      </w:r>
      <w:r w:rsidRPr="004B4FED">
        <w:rPr>
          <w:rFonts w:eastAsiaTheme="minorEastAsia"/>
          <w:color w:val="000000" w:themeColor="text1"/>
          <w:shd w:val="clear" w:color="auto" w:fill="FFFFFF"/>
        </w:rPr>
        <w:t>Furthermore, divorce-law is a high-volume practice, with few instances of repeat interaction between lawyers and clients. This suggests that the typical lawyer-client relationship is characterised by relatively significant social distance</w:t>
      </w:r>
      <w:r>
        <w:rPr>
          <w:rFonts w:eastAsiaTheme="minorEastAsia"/>
          <w:color w:val="000000" w:themeColor="text1"/>
          <w:shd w:val="clear" w:color="auto" w:fill="FFFFFF"/>
        </w:rPr>
        <w:t>,</w:t>
      </w:r>
      <w:r w:rsidRPr="00101A93">
        <w:rPr>
          <w:rStyle w:val="FootnoteReference"/>
          <w:rFonts w:eastAsiaTheme="minorEastAsia"/>
          <w:color w:val="000000" w:themeColor="text1"/>
          <w:shd w:val="clear" w:color="auto" w:fill="FFFFFF"/>
        </w:rPr>
        <w:footnoteReference w:id="38"/>
      </w:r>
      <w:r w:rsidRPr="004B4FED">
        <w:rPr>
          <w:rFonts w:eastAsiaTheme="minorEastAsia"/>
          <w:color w:val="000000" w:themeColor="text1"/>
          <w:shd w:val="clear" w:color="auto" w:fill="FFFFFF"/>
        </w:rPr>
        <w:t xml:space="preserve"> implying reduced other-regarding </w:t>
      </w:r>
      <w:r w:rsidRPr="008F7A8E">
        <w:rPr>
          <w:rFonts w:eastAsiaTheme="minorEastAsia"/>
          <w:color w:val="000000" w:themeColor="text1"/>
          <w:shd w:val="clear" w:color="auto" w:fill="FFFFFF"/>
        </w:rPr>
        <w:t>behaviour (Bohnet and Frey, 1999) amongst</w:t>
      </w:r>
      <w:r w:rsidRPr="004B4FED">
        <w:rPr>
          <w:rFonts w:eastAsiaTheme="minorEastAsia"/>
          <w:color w:val="000000" w:themeColor="text1"/>
          <w:shd w:val="clear" w:color="auto" w:fill="FFFFFF"/>
        </w:rPr>
        <w:t xml:space="preserve"> lawyers. For simplicity, a lawyer’s </w:t>
      </w:r>
      <m:oMath>
        <m:r>
          <w:rPr>
            <w:rFonts w:ascii="Cambria Math" w:eastAsiaTheme="minorEastAsia" w:hAnsi="Cambria Math"/>
            <w:color w:val="000000" w:themeColor="text1"/>
            <w:shd w:val="clear" w:color="auto" w:fill="FFFFFF"/>
          </w:rPr>
          <m:t>ε</m:t>
        </m:r>
      </m:oMath>
      <w:r w:rsidRPr="004B4FED">
        <w:rPr>
          <w:rFonts w:eastAsiaTheme="minorEastAsia"/>
          <w:color w:val="000000" w:themeColor="text1"/>
          <w:shd w:val="clear" w:color="auto" w:fill="FFFFFF"/>
        </w:rPr>
        <w:t xml:space="preserve"> is assumed to remain constant over the course of the game. </w:t>
      </w:r>
    </w:p>
    <w:p w14:paraId="11EE6A01" w14:textId="77777777" w:rsidR="00991A78" w:rsidRPr="00F82C91" w:rsidRDefault="00991A78" w:rsidP="00EE0446">
      <w:pPr>
        <w:spacing w:line="360" w:lineRule="auto"/>
        <w:rPr>
          <w:rFonts w:eastAsiaTheme="minorEastAsia"/>
          <w:color w:val="000000" w:themeColor="text1"/>
          <w:shd w:val="clear" w:color="auto" w:fill="FFFFFF"/>
        </w:rPr>
      </w:pPr>
    </w:p>
    <w:p w14:paraId="78E4AD8D" w14:textId="723D71BF" w:rsidR="00EE0446" w:rsidRPr="00245F90" w:rsidRDefault="00EE0446" w:rsidP="00245F90">
      <w:pPr>
        <w:pStyle w:val="ListParagraph"/>
        <w:numPr>
          <w:ilvl w:val="0"/>
          <w:numId w:val="1"/>
        </w:numPr>
        <w:spacing w:line="360" w:lineRule="auto"/>
        <w:rPr>
          <w:rFonts w:eastAsiaTheme="minorEastAsia"/>
          <w:b/>
          <w:shd w:val="clear" w:color="auto" w:fill="FFFFFF"/>
        </w:rPr>
      </w:pPr>
      <w:r w:rsidRPr="00245F90">
        <w:rPr>
          <w:rFonts w:eastAsiaTheme="minorEastAsia"/>
          <w:b/>
          <w:shd w:val="clear" w:color="auto" w:fill="FFFFFF"/>
        </w:rPr>
        <w:t xml:space="preserve">Client Welfare   </w:t>
      </w:r>
    </w:p>
    <w:p w14:paraId="77E2F0FB" w14:textId="77777777" w:rsidR="00EE0446" w:rsidRPr="00D01732" w:rsidRDefault="00EE0446" w:rsidP="00EE0446">
      <w:pPr>
        <w:spacing w:line="360" w:lineRule="auto"/>
      </w:pPr>
      <w:r>
        <w:rPr>
          <w:rFonts w:eastAsiaTheme="minorEastAsia"/>
          <w:shd w:val="clear" w:color="auto" w:fill="FFFFFF"/>
        </w:rPr>
        <w:t xml:space="preserve">Recall, </w:t>
      </w:r>
      <w:r w:rsidRPr="00082828">
        <w:rPr>
          <w:rFonts w:eastAsiaTheme="minorEastAsia"/>
          <w:shd w:val="clear" w:color="auto" w:fill="FFFFFF"/>
        </w:rPr>
        <w:t>according to Barry and Friedman (1998) the</w:t>
      </w:r>
      <w:r>
        <w:rPr>
          <w:rFonts w:eastAsiaTheme="minorEastAsia"/>
          <w:shd w:val="clear" w:color="auto" w:fill="FFFFFF"/>
        </w:rPr>
        <w:t xml:space="preserve"> ‘integrativeness’ of settlements is defined as the degree to which the deal bridges the parties’ interests and all potential joint-gains have been discovered. To address the latter, </w:t>
      </w:r>
      <w:r>
        <w:rPr>
          <w:rFonts w:eastAsiaTheme="minorEastAsia"/>
          <w:b/>
          <w:shd w:val="clear" w:color="auto" w:fill="FFFFFF"/>
        </w:rPr>
        <w:t>Client Welfare Function (1)</w:t>
      </w:r>
      <w:r>
        <w:rPr>
          <w:rFonts w:eastAsiaTheme="minorEastAsia"/>
          <w:shd w:val="clear" w:color="auto" w:fill="FFFFFF"/>
        </w:rPr>
        <w:t xml:space="preserve"> presents a utilitarian client welfare function, wherein it is assumed that the client welfare maximising outcome is that which maximises total client gains. To address the former, an element of equity is incorporated in that the function is maximised with the stipulation that the utility </w:t>
      </w:r>
      <w:r w:rsidRPr="003674FB">
        <w:rPr>
          <w:rFonts w:eastAsiaTheme="minorEastAsia"/>
          <w:shd w:val="clear" w:color="auto" w:fill="FFFFFF"/>
        </w:rPr>
        <w:t xml:space="preserve">that </w:t>
      </w:r>
      <w:r w:rsidRPr="003674FB">
        <w:t>C</w:t>
      </w:r>
      <w:r w:rsidRPr="003674FB">
        <w:rPr>
          <w:vertAlign w:val="subscript"/>
        </w:rPr>
        <w:t xml:space="preserve">1 </w:t>
      </w:r>
      <w:r w:rsidRPr="003674FB">
        <w:rPr>
          <w:rFonts w:eastAsiaTheme="minorEastAsia"/>
          <w:shd w:val="clear" w:color="auto" w:fill="FFFFFF"/>
        </w:rPr>
        <w:t xml:space="preserve">attains from their share, </w:t>
      </w:r>
      <w:r w:rsidRPr="003674FB">
        <w:t>D</w:t>
      </w:r>
      <w:r w:rsidRPr="003674FB">
        <w:rPr>
          <w:vertAlign w:val="subscript"/>
        </w:rPr>
        <w:t>C1,t</w:t>
      </w:r>
      <w:r w:rsidRPr="003674FB">
        <w:t>, is equal to or larger than the utility that they would derive from securing C</w:t>
      </w:r>
      <w:r w:rsidRPr="003674FB">
        <w:rPr>
          <w:vertAlign w:val="subscript"/>
        </w:rPr>
        <w:t>2</w:t>
      </w:r>
      <w:r w:rsidRPr="003674FB">
        <w:t>’s share, D</w:t>
      </w:r>
      <w:r w:rsidRPr="003674FB">
        <w:rPr>
          <w:vertAlign w:val="subscript"/>
        </w:rPr>
        <w:t>C2,t</w:t>
      </w:r>
      <w:r w:rsidRPr="003674FB">
        <w:t xml:space="preserve"> and vice-versa.</w:t>
      </w:r>
      <w:r>
        <w:rPr>
          <w:rStyle w:val="FootnoteReference"/>
        </w:rPr>
        <w:footnoteReference w:id="39"/>
      </w:r>
    </w:p>
    <w:p w14:paraId="5843C9A3" w14:textId="77777777" w:rsidR="00EE0446" w:rsidRPr="003674FB" w:rsidRDefault="00EE0446" w:rsidP="00EE0446">
      <w:pPr>
        <w:spacing w:line="360" w:lineRule="auto"/>
        <w:rPr>
          <w:rFonts w:eastAsiaTheme="minorEastAsia"/>
          <w:shd w:val="clear" w:color="auto" w:fill="FFFFFF"/>
        </w:rPr>
      </w:pPr>
    </w:p>
    <w:p w14:paraId="3B9B672E" w14:textId="77777777" w:rsidR="00EE0446" w:rsidRPr="0037149F" w:rsidRDefault="00EE0446" w:rsidP="00EE0446">
      <w:pPr>
        <w:spacing w:line="360" w:lineRule="auto"/>
        <w:rPr>
          <w:color w:val="000000" w:themeColor="text1"/>
        </w:rPr>
      </w:pPr>
      <w:r w:rsidRPr="00A87408">
        <w:rPr>
          <w:i/>
          <w:color w:val="000000" w:themeColor="text1"/>
        </w:rPr>
        <w:t>W</w:t>
      </w:r>
      <w:r w:rsidRPr="00A87408">
        <w:rPr>
          <w:i/>
          <w:color w:val="000000" w:themeColor="text1"/>
          <w:vertAlign w:val="subscript"/>
        </w:rPr>
        <w:t>c</w:t>
      </w:r>
      <w:r w:rsidRPr="0037149F">
        <w:rPr>
          <w:color w:val="000000" w:themeColor="text1"/>
        </w:rPr>
        <w:t xml:space="preserve"> = </w:t>
      </w:r>
      <m:oMath>
        <m:nary>
          <m:naryPr>
            <m:chr m:val="∑"/>
            <m:limLoc m:val="undOvr"/>
            <m:ctrlPr>
              <w:rPr>
                <w:rFonts w:ascii="Cambria Math" w:hAnsi="Cambria Math"/>
                <w:i/>
                <w:color w:val="000000" w:themeColor="text1"/>
              </w:rPr>
            </m:ctrlPr>
          </m:naryPr>
          <m:sub>
            <m:r>
              <w:rPr>
                <w:rFonts w:ascii="Cambria Math" w:hAnsi="Cambria Math"/>
                <w:color w:val="000000" w:themeColor="text1"/>
              </w:rPr>
              <m:t>i=1</m:t>
            </m:r>
          </m:sub>
          <m:sup>
            <m:r>
              <w:rPr>
                <w:rFonts w:ascii="Cambria Math" w:hAnsi="Cambria Math"/>
                <w:color w:val="000000" w:themeColor="text1"/>
              </w:rPr>
              <m:t>2</m:t>
            </m:r>
          </m:sup>
          <m:e>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ci,t</m:t>
                </m:r>
              </m:sub>
            </m:sSub>
          </m:e>
        </m:nary>
      </m:oMath>
      <w:r>
        <w:rPr>
          <w:rFonts w:eastAsiaTheme="minorEastAsia"/>
          <w:color w:val="000000" w:themeColor="text1"/>
        </w:rPr>
        <w:t xml:space="preserve"> = </w:t>
      </w:r>
      <w:r w:rsidRPr="0037149F">
        <w:t>U</w:t>
      </w:r>
      <w:r w:rsidRPr="0037149F">
        <w:rPr>
          <w:vertAlign w:val="subscript"/>
        </w:rPr>
        <w:t>C1,t</w:t>
      </w:r>
      <w:r w:rsidRPr="0037149F">
        <w:t xml:space="preserve"> + U</w:t>
      </w:r>
      <w:r w:rsidRPr="0037149F">
        <w:rPr>
          <w:vertAlign w:val="subscript"/>
        </w:rPr>
        <w:t>C2,t</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3674FB">
        <w:rPr>
          <w:b/>
        </w:rPr>
        <w:t>(1)</w:t>
      </w:r>
      <w:r w:rsidRPr="003674FB">
        <w:tab/>
      </w:r>
    </w:p>
    <w:p w14:paraId="53D217F1" w14:textId="77777777" w:rsidR="00EE0446" w:rsidRPr="00D01732" w:rsidRDefault="00EE0446" w:rsidP="00EE0446">
      <w:pPr>
        <w:spacing w:line="360" w:lineRule="auto"/>
        <w:rPr>
          <w:sz w:val="22"/>
          <w:szCs w:val="22"/>
        </w:rPr>
      </w:pPr>
      <w:r w:rsidRPr="00D01732">
        <w:rPr>
          <w:sz w:val="22"/>
          <w:szCs w:val="22"/>
        </w:rPr>
        <w:t>Where U</w:t>
      </w:r>
      <w:r w:rsidRPr="00D01732">
        <w:rPr>
          <w:sz w:val="22"/>
          <w:szCs w:val="22"/>
          <w:vertAlign w:val="subscript"/>
        </w:rPr>
        <w:t>C1,t</w:t>
      </w:r>
      <w:r w:rsidRPr="00D01732">
        <w:rPr>
          <w:sz w:val="22"/>
          <w:szCs w:val="22"/>
        </w:rPr>
        <w:t xml:space="preserve"> and U</w:t>
      </w:r>
      <w:r w:rsidRPr="00D01732">
        <w:rPr>
          <w:sz w:val="22"/>
          <w:szCs w:val="22"/>
          <w:vertAlign w:val="subscript"/>
        </w:rPr>
        <w:t>C2,t</w:t>
      </w:r>
      <w:r w:rsidRPr="00D01732">
        <w:rPr>
          <w:sz w:val="22"/>
          <w:szCs w:val="22"/>
        </w:rPr>
        <w:t xml:space="preserve"> represent the clients’ utility and U</w:t>
      </w:r>
      <w:r w:rsidRPr="00D01732">
        <w:rPr>
          <w:sz w:val="22"/>
          <w:szCs w:val="22"/>
          <w:vertAlign w:val="subscript"/>
        </w:rPr>
        <w:t>C1,t</w:t>
      </w:r>
      <w:r w:rsidRPr="00D01732">
        <w:rPr>
          <w:sz w:val="22"/>
          <w:szCs w:val="22"/>
        </w:rPr>
        <w:t xml:space="preserve"> (D</w:t>
      </w:r>
      <w:r w:rsidRPr="00D01732">
        <w:rPr>
          <w:sz w:val="22"/>
          <w:szCs w:val="22"/>
          <w:vertAlign w:val="subscript"/>
        </w:rPr>
        <w:t>C1,t</w:t>
      </w:r>
      <w:r w:rsidRPr="00D01732">
        <w:rPr>
          <w:sz w:val="22"/>
          <w:szCs w:val="22"/>
        </w:rPr>
        <w:t>)</w:t>
      </w:r>
      <w:r w:rsidRPr="00D01732">
        <w:rPr>
          <w:sz w:val="22"/>
          <w:szCs w:val="22"/>
          <w:vertAlign w:val="subscript"/>
        </w:rPr>
        <w:t xml:space="preserve"> </w:t>
      </w:r>
      <m:oMath>
        <m:r>
          <w:rPr>
            <w:rFonts w:ascii="Cambria Math" w:hAnsi="Cambria Math"/>
            <w:sz w:val="22"/>
            <w:szCs w:val="22"/>
            <w:vertAlign w:val="subscript"/>
          </w:rPr>
          <m:t>≥</m:t>
        </m:r>
      </m:oMath>
      <w:r w:rsidRPr="00D01732">
        <w:rPr>
          <w:rFonts w:eastAsiaTheme="minorEastAsia"/>
          <w:sz w:val="22"/>
          <w:szCs w:val="22"/>
          <w:vertAlign w:val="subscript"/>
        </w:rPr>
        <w:t xml:space="preserve"> </w:t>
      </w:r>
      <w:r w:rsidRPr="00D01732">
        <w:rPr>
          <w:sz w:val="22"/>
          <w:szCs w:val="22"/>
        </w:rPr>
        <w:t>U</w:t>
      </w:r>
      <w:r w:rsidRPr="00D01732">
        <w:rPr>
          <w:sz w:val="22"/>
          <w:szCs w:val="22"/>
          <w:vertAlign w:val="subscript"/>
        </w:rPr>
        <w:t>C1,t</w:t>
      </w:r>
      <w:r w:rsidRPr="00D01732">
        <w:rPr>
          <w:sz w:val="22"/>
          <w:szCs w:val="22"/>
        </w:rPr>
        <w:t xml:space="preserve"> (D</w:t>
      </w:r>
      <w:r w:rsidRPr="00D01732">
        <w:rPr>
          <w:sz w:val="22"/>
          <w:szCs w:val="22"/>
          <w:vertAlign w:val="subscript"/>
        </w:rPr>
        <w:t>C2,t</w:t>
      </w:r>
      <w:r w:rsidRPr="00D01732">
        <w:rPr>
          <w:sz w:val="22"/>
          <w:szCs w:val="22"/>
        </w:rPr>
        <w:t>)</w:t>
      </w:r>
      <w:r w:rsidRPr="00D01732">
        <w:rPr>
          <w:sz w:val="22"/>
          <w:szCs w:val="22"/>
          <w:vertAlign w:val="subscript"/>
        </w:rPr>
        <w:t xml:space="preserve"> </w:t>
      </w:r>
      <w:r w:rsidRPr="00D01732">
        <w:rPr>
          <w:sz w:val="22"/>
          <w:szCs w:val="22"/>
        </w:rPr>
        <w:t>and U</w:t>
      </w:r>
      <w:r w:rsidRPr="00D01732">
        <w:rPr>
          <w:sz w:val="22"/>
          <w:szCs w:val="22"/>
          <w:vertAlign w:val="subscript"/>
        </w:rPr>
        <w:t xml:space="preserve">C2,t </w:t>
      </w:r>
      <w:r w:rsidRPr="00D01732">
        <w:rPr>
          <w:sz w:val="22"/>
          <w:szCs w:val="22"/>
        </w:rPr>
        <w:t>(D</w:t>
      </w:r>
      <w:r w:rsidRPr="00D01732">
        <w:rPr>
          <w:sz w:val="22"/>
          <w:szCs w:val="22"/>
          <w:vertAlign w:val="subscript"/>
        </w:rPr>
        <w:t>C2,t</w:t>
      </w:r>
      <w:r w:rsidRPr="00D01732">
        <w:rPr>
          <w:sz w:val="22"/>
          <w:szCs w:val="22"/>
        </w:rPr>
        <w:t>)</w:t>
      </w:r>
      <w:r w:rsidRPr="00D01732">
        <w:rPr>
          <w:sz w:val="22"/>
          <w:szCs w:val="22"/>
          <w:vertAlign w:val="subscript"/>
        </w:rPr>
        <w:t xml:space="preserve"> </w:t>
      </w:r>
      <m:oMath>
        <m:r>
          <w:rPr>
            <w:rFonts w:ascii="Cambria Math" w:hAnsi="Cambria Math"/>
            <w:sz w:val="22"/>
            <w:szCs w:val="22"/>
            <w:vertAlign w:val="subscript"/>
          </w:rPr>
          <m:t>≥</m:t>
        </m:r>
      </m:oMath>
      <w:r w:rsidRPr="00D01732">
        <w:rPr>
          <w:rFonts w:eastAsiaTheme="minorEastAsia"/>
          <w:sz w:val="22"/>
          <w:szCs w:val="22"/>
          <w:vertAlign w:val="subscript"/>
        </w:rPr>
        <w:t xml:space="preserve"> </w:t>
      </w:r>
      <w:r w:rsidRPr="00D01732">
        <w:rPr>
          <w:sz w:val="22"/>
          <w:szCs w:val="22"/>
        </w:rPr>
        <w:t>U</w:t>
      </w:r>
      <w:r w:rsidRPr="00D01732">
        <w:rPr>
          <w:sz w:val="22"/>
          <w:szCs w:val="22"/>
          <w:vertAlign w:val="subscript"/>
        </w:rPr>
        <w:t xml:space="preserve">C2,t </w:t>
      </w:r>
      <w:r w:rsidRPr="00D01732">
        <w:rPr>
          <w:sz w:val="22"/>
          <w:szCs w:val="22"/>
        </w:rPr>
        <w:t>(D</w:t>
      </w:r>
      <w:r w:rsidRPr="00D01732">
        <w:rPr>
          <w:sz w:val="22"/>
          <w:szCs w:val="22"/>
          <w:vertAlign w:val="subscript"/>
        </w:rPr>
        <w:t>C1,t</w:t>
      </w:r>
      <w:r w:rsidRPr="00D01732">
        <w:rPr>
          <w:sz w:val="22"/>
          <w:szCs w:val="22"/>
        </w:rPr>
        <w:t>).</w:t>
      </w:r>
    </w:p>
    <w:p w14:paraId="3DED5649" w14:textId="77777777" w:rsidR="00EE0446" w:rsidRDefault="00EE0446" w:rsidP="00EE0446">
      <w:pPr>
        <w:spacing w:line="360" w:lineRule="auto"/>
      </w:pPr>
    </w:p>
    <w:p w14:paraId="55141146" w14:textId="77777777" w:rsidR="00EE0446" w:rsidRDefault="00EE0446" w:rsidP="00EE0446">
      <w:pPr>
        <w:spacing w:line="360" w:lineRule="auto"/>
      </w:pPr>
      <w:r>
        <w:rPr>
          <w:rFonts w:eastAsiaTheme="minorEastAsia"/>
          <w:bCs/>
          <w:iCs/>
          <w:shd w:val="clear" w:color="auto" w:fill="FFFFFF"/>
        </w:rPr>
        <w:t>If the client’s</w:t>
      </w:r>
      <w:r w:rsidRPr="003674FB">
        <w:rPr>
          <w:rFonts w:eastAsiaTheme="minorEastAsia"/>
          <w:bCs/>
          <w:iCs/>
          <w:shd w:val="clear" w:color="auto" w:fill="FFFFFF"/>
        </w:rPr>
        <w:t xml:space="preserve"> distributive shares are assumed to equate</w:t>
      </w:r>
      <w:r>
        <w:rPr>
          <w:rFonts w:eastAsiaTheme="minorEastAsia"/>
          <w:bCs/>
          <w:iCs/>
          <w:shd w:val="clear" w:color="auto" w:fill="FFFFFF"/>
        </w:rPr>
        <w:t xml:space="preserve"> their utility, then client welfare is equal to the clients’ joint outcome as illustrated in </w:t>
      </w:r>
      <w:r>
        <w:rPr>
          <w:rFonts w:eastAsiaTheme="minorEastAsia"/>
          <w:b/>
          <w:bCs/>
          <w:iCs/>
          <w:shd w:val="clear" w:color="auto" w:fill="FFFFFF"/>
        </w:rPr>
        <w:t xml:space="preserve">Table 1. </w:t>
      </w:r>
      <w:r>
        <w:rPr>
          <w:rFonts w:eastAsiaTheme="minorEastAsia"/>
          <w:color w:val="000000" w:themeColor="text1"/>
          <w:shd w:val="clear" w:color="auto" w:fill="FFFFFF"/>
        </w:rPr>
        <w:t xml:space="preserve">Client welfare is maximised at t=5, where the clients’ interests are bridged in that neither client would strictly prefer their rival’s distributive share. The integrative outcome is therefore determined to occur at t=5. </w:t>
      </w:r>
    </w:p>
    <w:p w14:paraId="7DE793B3" w14:textId="25BCD4CE" w:rsidR="00EE0446" w:rsidRPr="00BD06EB" w:rsidRDefault="00EE0446" w:rsidP="00EE0446">
      <w:pPr>
        <w:spacing w:line="360" w:lineRule="auto"/>
        <w:rPr>
          <w:rFonts w:eastAsiaTheme="minorEastAsia"/>
          <w:shd w:val="clear" w:color="auto" w:fill="FFFFFF"/>
        </w:rPr>
      </w:pPr>
      <w:r>
        <w:rPr>
          <w:rFonts w:eastAsiaTheme="minorEastAsia"/>
          <w:shd w:val="clear" w:color="auto" w:fill="FFFFFF"/>
        </w:rPr>
        <w:t xml:space="preserve">This approach to welfare analysis may be limited in that client welfare maximisation overlooks the lawyers’ gains, and will therefore not equate social welfare maximisation in the </w:t>
      </w:r>
      <w:r w:rsidR="00B8729E">
        <w:rPr>
          <w:rFonts w:eastAsia="Times New Roman"/>
        </w:rPr>
        <w:t>IDBG</w:t>
      </w:r>
      <w:r>
        <w:rPr>
          <w:rFonts w:eastAsiaTheme="minorEastAsia"/>
          <w:shd w:val="clear" w:color="auto" w:fill="FFFFFF"/>
        </w:rPr>
        <w:t>. Nevertheless, the purpose of this paper</w:t>
      </w:r>
      <w:r>
        <w:rPr>
          <w:rFonts w:eastAsiaTheme="minorEastAsia"/>
          <w:b/>
          <w:shd w:val="clear" w:color="auto" w:fill="FFFFFF"/>
        </w:rPr>
        <w:t xml:space="preserve"> </w:t>
      </w:r>
      <w:r>
        <w:rPr>
          <w:rFonts w:eastAsiaTheme="minorEastAsia"/>
          <w:shd w:val="clear" w:color="auto" w:fill="FFFFFF"/>
        </w:rPr>
        <w:t>is to advance our understanding of the effects of agency on divorce clients attaining integrative outcomes. Accordingly,</w:t>
      </w:r>
      <w:r>
        <w:rPr>
          <w:rFonts w:eastAsiaTheme="minorEastAsia"/>
          <w:b/>
          <w:shd w:val="clear" w:color="auto" w:fill="FFFFFF"/>
        </w:rPr>
        <w:t xml:space="preserve"> </w:t>
      </w:r>
      <w:r>
        <w:rPr>
          <w:rFonts w:eastAsiaTheme="minorEastAsia"/>
          <w:shd w:val="clear" w:color="auto" w:fill="FFFFFF"/>
        </w:rPr>
        <w:t xml:space="preserve">this paper adopts </w:t>
      </w:r>
      <w:r>
        <w:rPr>
          <w:rFonts w:eastAsiaTheme="minorEastAsia"/>
          <w:b/>
          <w:shd w:val="clear" w:color="auto" w:fill="FFFFFF"/>
        </w:rPr>
        <w:t>Client Welfare Function (1)</w:t>
      </w:r>
      <w:r>
        <w:rPr>
          <w:rFonts w:eastAsiaTheme="minorEastAsia"/>
          <w:shd w:val="clear" w:color="auto" w:fill="FFFFFF"/>
        </w:rPr>
        <w:t xml:space="preserve"> as a benchmark, allowing for comparisons between the lawyer’s predicted outcome in the </w:t>
      </w:r>
      <w:r w:rsidR="00B8729E">
        <w:rPr>
          <w:rFonts w:eastAsia="Times New Roman"/>
        </w:rPr>
        <w:t>IDBG</w:t>
      </w:r>
      <w:r>
        <w:rPr>
          <w:rFonts w:eastAsiaTheme="minorEastAsia"/>
          <w:shd w:val="clear" w:color="auto" w:fill="FFFFFF"/>
        </w:rPr>
        <w:t xml:space="preserve">, against this proposed ideal for clients. </w:t>
      </w:r>
      <w:r>
        <w:rPr>
          <w:rFonts w:eastAsiaTheme="minorEastAsia"/>
          <w:color w:val="000000" w:themeColor="text1"/>
          <w:shd w:val="clear" w:color="auto" w:fill="FFFFFF"/>
        </w:rPr>
        <w:t xml:space="preserve">Adopting alternative benchmarks, instead of prioritising client welfare, may affect considerations of over/under investment. </w:t>
      </w:r>
    </w:p>
    <w:p w14:paraId="381A4219" w14:textId="77777777" w:rsidR="00EE0446" w:rsidRPr="003674FB" w:rsidRDefault="00EE0446" w:rsidP="00EE0446">
      <w:pPr>
        <w:spacing w:line="360" w:lineRule="auto"/>
        <w:rPr>
          <w:rFonts w:eastAsiaTheme="minorEastAsia"/>
          <w:color w:val="000000" w:themeColor="text1"/>
          <w:shd w:val="clear" w:color="auto" w:fill="FFFFFF"/>
        </w:rPr>
      </w:pPr>
    </w:p>
    <w:p w14:paraId="62668D86" w14:textId="75965690" w:rsidR="00EE0446" w:rsidRPr="00967736" w:rsidRDefault="00EE0446" w:rsidP="00967736">
      <w:pPr>
        <w:pStyle w:val="ListParagraph"/>
        <w:numPr>
          <w:ilvl w:val="1"/>
          <w:numId w:val="1"/>
        </w:numPr>
        <w:spacing w:line="360" w:lineRule="auto"/>
        <w:rPr>
          <w:rFonts w:eastAsiaTheme="minorEastAsia"/>
          <w:b/>
          <w:shd w:val="clear" w:color="auto" w:fill="FFFFFF"/>
        </w:rPr>
      </w:pPr>
      <w:r w:rsidRPr="00967736">
        <w:rPr>
          <w:rFonts w:eastAsiaTheme="minorEastAsia"/>
          <w:b/>
          <w:shd w:val="clear" w:color="auto" w:fill="FFFFFF"/>
        </w:rPr>
        <w:t>Efficiency</w:t>
      </w:r>
    </w:p>
    <w:p w14:paraId="135042B9" w14:textId="77777777" w:rsidR="00EE0446" w:rsidRDefault="00EE0446" w:rsidP="00EE0446">
      <w:pPr>
        <w:spacing w:line="360" w:lineRule="auto"/>
      </w:pPr>
      <w:r w:rsidRPr="004B4FED">
        <w:rPr>
          <w:rFonts w:eastAsiaTheme="minorEastAsia"/>
          <w:shd w:val="clear" w:color="auto" w:fill="FFFFFF"/>
        </w:rPr>
        <w:t xml:space="preserve">The Kaldor-Hicks criterion posits that a change is an improvement if those who gain evaluate </w:t>
      </w:r>
      <w:r w:rsidRPr="00ED2124">
        <w:rPr>
          <w:rFonts w:eastAsiaTheme="minorEastAsia"/>
          <w:shd w:val="clear" w:color="auto" w:fill="FFFFFF"/>
        </w:rPr>
        <w:t>their gains at a higher figure, than the value at wh</w:t>
      </w:r>
      <w:r w:rsidRPr="008F7A8E">
        <w:rPr>
          <w:rFonts w:eastAsiaTheme="minorEastAsia"/>
          <w:shd w:val="clear" w:color="auto" w:fill="FFFFFF"/>
        </w:rPr>
        <w:t>ich the losers set upon their losses (Cirace, 2018). An</w:t>
      </w:r>
      <w:r w:rsidRPr="002B2684">
        <w:rPr>
          <w:rFonts w:eastAsiaTheme="minorEastAsia"/>
          <w:shd w:val="clear" w:color="auto" w:fill="FFFFFF"/>
        </w:rPr>
        <w:t xml:space="preserve"> action is therefore justified if its net benefit exceeds its net costs, in this case if</w:t>
      </w:r>
      <w:r w:rsidRPr="004B4FED">
        <w:rPr>
          <w:rFonts w:eastAsiaTheme="minorEastAsia"/>
          <w:shd w:val="clear" w:color="auto" w:fill="FFFFFF"/>
        </w:rPr>
        <w:t xml:space="preserve"> </w:t>
      </w:r>
      <m:oMath>
        <m:r>
          <w:rPr>
            <w:rFonts w:ascii="Cambria Math" w:eastAsiaTheme="minorEastAsia" w:hAnsi="Cambria Math"/>
            <w:color w:val="000000" w:themeColor="text1"/>
          </w:rPr>
          <m:t>∆</m:t>
        </m:r>
      </m:oMath>
      <w:r w:rsidRPr="008773D5">
        <w:t>U</w:t>
      </w:r>
      <w:r w:rsidRPr="004B4FED">
        <w:rPr>
          <w:vertAlign w:val="subscript"/>
        </w:rPr>
        <w:t>C1,t</w:t>
      </w:r>
      <w:r w:rsidRPr="008773D5">
        <w:t xml:space="preserve"> + </w:t>
      </w:r>
      <m:oMath>
        <m:r>
          <w:rPr>
            <w:rFonts w:ascii="Cambria Math" w:eastAsiaTheme="minorEastAsia" w:hAnsi="Cambria Math"/>
            <w:color w:val="000000" w:themeColor="text1"/>
          </w:rPr>
          <m:t>∆</m:t>
        </m:r>
      </m:oMath>
      <w:r w:rsidRPr="008773D5">
        <w:t>U</w:t>
      </w:r>
      <w:r w:rsidRPr="004B4FED">
        <w:rPr>
          <w:vertAlign w:val="subscript"/>
        </w:rPr>
        <w:t xml:space="preserve">C2,t </w:t>
      </w:r>
      <w:r w:rsidRPr="008773D5">
        <w:t xml:space="preserve">&gt; 0. From the client’s perspective, the net benefits of ‘passing’ exceed its net costs until t=5. This is also the Pareto-optimal outcome as ‘passing’ past this point will only serve to enhance the welfare of one </w:t>
      </w:r>
      <w:r w:rsidRPr="008F7A8E">
        <w:t xml:space="preserve">client at the expense of the other </w:t>
      </w:r>
      <w:r w:rsidRPr="008F7A8E">
        <w:rPr>
          <w:rFonts w:eastAsiaTheme="minorEastAsia"/>
          <w:shd w:val="clear" w:color="auto" w:fill="FFFFFF"/>
        </w:rPr>
        <w:t>(Coleman, 1980). This</w:t>
      </w:r>
      <w:r w:rsidRPr="004B4FED">
        <w:rPr>
          <w:rFonts w:eastAsiaTheme="minorEastAsia"/>
          <w:shd w:val="clear" w:color="auto" w:fill="FFFFFF"/>
        </w:rPr>
        <w:t xml:space="preserve"> is </w:t>
      </w:r>
      <w:r w:rsidRPr="00414149">
        <w:rPr>
          <w:rFonts w:eastAsiaTheme="minorEastAsia"/>
          <w:shd w:val="clear" w:color="auto" w:fill="FFFFFF"/>
        </w:rPr>
        <w:t xml:space="preserve">consistent </w:t>
      </w:r>
      <w:r w:rsidRPr="00E651D4">
        <w:rPr>
          <w:rFonts w:eastAsiaTheme="minorEastAsia"/>
          <w:shd w:val="clear" w:color="auto" w:fill="FFFFFF"/>
        </w:rPr>
        <w:t>with Wilson and Thompson (2014) who</w:t>
      </w:r>
      <w:r w:rsidRPr="00780336">
        <w:rPr>
          <w:rFonts w:eastAsiaTheme="minorEastAsia"/>
          <w:shd w:val="clear" w:color="auto" w:fill="FFFFFF"/>
        </w:rPr>
        <w:t xml:space="preserve"> suggested</w:t>
      </w:r>
      <w:r w:rsidRPr="004B4FED">
        <w:rPr>
          <w:rFonts w:eastAsiaTheme="minorEastAsia"/>
          <w:shd w:val="clear" w:color="auto" w:fill="FFFFFF"/>
        </w:rPr>
        <w:t xml:space="preserve"> that integrative solutions are Pareto-optimal, in that no other solution could improve the position of one party, without damaging the other. Notably, </w:t>
      </w:r>
      <w:r w:rsidRPr="003674FB">
        <w:t xml:space="preserve">Pareto-efficiency does not </w:t>
      </w:r>
      <w:r w:rsidRPr="00A64818">
        <w:t xml:space="preserve">permit </w:t>
      </w:r>
      <w:r w:rsidRPr="008F7A8E">
        <w:t>coercion (Cirace, 2018). This</w:t>
      </w:r>
      <w:r w:rsidRPr="008773D5">
        <w:t xml:space="preserve"> is potentially inconsistent with the model’s emphasis on opportunism and client dependency. Yet while reliant, clients are assumed to voluntarily delegate discretion over their decision-making at the game’s initiation. Furthermore, the Kaldor-Hicks criterion can be utilised to justify </w:t>
      </w:r>
      <w:r w:rsidRPr="009E33FB">
        <w:t xml:space="preserve">coercive action (Cirace, 2018). Both criteria are limited in that they do not consider the fairness of the status quo (Cirace, 2018), however, this limitation </w:t>
      </w:r>
      <w:r>
        <w:t>becomes</w:t>
      </w:r>
      <w:r w:rsidRPr="009E33FB">
        <w:t xml:space="preserve"> immaterial with the </w:t>
      </w:r>
      <w:r>
        <w:t xml:space="preserve">added </w:t>
      </w:r>
      <w:r w:rsidRPr="009E33FB">
        <w:t>consideration of equity</w:t>
      </w:r>
      <w:r>
        <w:t xml:space="preserve">. </w:t>
      </w:r>
    </w:p>
    <w:p w14:paraId="091C5C0C" w14:textId="77777777" w:rsidR="00EE0446" w:rsidRPr="003674FB" w:rsidRDefault="00EE0446" w:rsidP="00EE0446">
      <w:pPr>
        <w:spacing w:line="360" w:lineRule="auto"/>
      </w:pPr>
    </w:p>
    <w:p w14:paraId="2003EB9D" w14:textId="6C1C9B6E" w:rsidR="00EE0446" w:rsidRPr="00967736" w:rsidRDefault="00EE0446" w:rsidP="00967736">
      <w:pPr>
        <w:pStyle w:val="ListParagraph"/>
        <w:numPr>
          <w:ilvl w:val="1"/>
          <w:numId w:val="1"/>
        </w:numPr>
        <w:spacing w:line="360" w:lineRule="auto"/>
        <w:rPr>
          <w:rFonts w:eastAsiaTheme="minorEastAsia"/>
          <w:b/>
          <w:shd w:val="clear" w:color="auto" w:fill="FFFFFF"/>
        </w:rPr>
      </w:pPr>
      <w:r w:rsidRPr="00967736">
        <w:rPr>
          <w:rFonts w:eastAsiaTheme="minorEastAsia"/>
          <w:b/>
          <w:shd w:val="clear" w:color="auto" w:fill="FFFFFF"/>
        </w:rPr>
        <w:t>Equity</w:t>
      </w:r>
    </w:p>
    <w:p w14:paraId="011F6BEB" w14:textId="05DE593F" w:rsidR="002E6B0B" w:rsidRDefault="00EE0446" w:rsidP="00EE0446">
      <w:pPr>
        <w:spacing w:line="360" w:lineRule="auto"/>
        <w:rPr>
          <w:rFonts w:eastAsiaTheme="minorEastAsia"/>
          <w:shd w:val="clear" w:color="auto" w:fill="FFFFFF"/>
        </w:rPr>
      </w:pPr>
      <w:r w:rsidRPr="004B4FED">
        <w:rPr>
          <w:rFonts w:eastAsiaTheme="minorEastAsia"/>
          <w:shd w:val="clear" w:color="auto" w:fill="FFFFFF"/>
        </w:rPr>
        <w:t xml:space="preserve">In integrative negotiations, parties achieve efficiency by reconciling their diverging interests </w:t>
      </w:r>
      <w:r w:rsidRPr="008F7A8E">
        <w:rPr>
          <w:rFonts w:eastAsiaTheme="minorEastAsia"/>
          <w:shd w:val="clear" w:color="auto" w:fill="FFFFFF"/>
        </w:rPr>
        <w:t>and engaging in mutually beneficial trade-offs on differentially valued issues (Bazerman and Neale, 1983). It is</w:t>
      </w:r>
      <w:r w:rsidRPr="002B2684">
        <w:rPr>
          <w:rFonts w:eastAsiaTheme="minorEastAsia"/>
          <w:shd w:val="clear" w:color="auto" w:fill="FFFFFF"/>
        </w:rPr>
        <w:t xml:space="preserve"> the pursuit of equity, the search to distribute items in accordance with the</w:t>
      </w:r>
      <w:r w:rsidRPr="004B4FED">
        <w:rPr>
          <w:rFonts w:eastAsiaTheme="minorEastAsia"/>
          <w:shd w:val="clear" w:color="auto" w:fill="FFFFFF"/>
        </w:rPr>
        <w:t xml:space="preserve"> differential value placed upon them by clients, that increases joint-gains. The integrative outcome may thus not be equal, but it is postulated to be equitable. </w:t>
      </w:r>
    </w:p>
    <w:p w14:paraId="260298DB" w14:textId="77777777" w:rsidR="0011632D" w:rsidRDefault="0011632D" w:rsidP="00EE0446">
      <w:pPr>
        <w:spacing w:line="360" w:lineRule="auto"/>
        <w:rPr>
          <w:rFonts w:eastAsiaTheme="minorEastAsia"/>
          <w:shd w:val="clear" w:color="auto" w:fill="FFFFFF"/>
        </w:rPr>
      </w:pPr>
    </w:p>
    <w:p w14:paraId="65FD162B" w14:textId="00142D80" w:rsidR="00EE0446" w:rsidRPr="00967736" w:rsidRDefault="00EE0446" w:rsidP="00967736">
      <w:pPr>
        <w:pStyle w:val="ListParagraph"/>
        <w:numPr>
          <w:ilvl w:val="0"/>
          <w:numId w:val="1"/>
        </w:numPr>
        <w:spacing w:line="360" w:lineRule="auto"/>
        <w:rPr>
          <w:rFonts w:eastAsiaTheme="minorEastAsia"/>
          <w:b/>
          <w:shd w:val="clear" w:color="auto" w:fill="FFFFFF"/>
        </w:rPr>
      </w:pPr>
      <w:r w:rsidRPr="00967736">
        <w:rPr>
          <w:rFonts w:eastAsiaTheme="minorEastAsia"/>
          <w:b/>
          <w:shd w:val="clear" w:color="auto" w:fill="FFFFFF"/>
        </w:rPr>
        <w:t xml:space="preserve">Comparative Statics </w:t>
      </w:r>
    </w:p>
    <w:p w14:paraId="3D4D548D" w14:textId="51A0B675" w:rsidR="00F82C91" w:rsidRDefault="00EE0446" w:rsidP="00EE0446">
      <w:pPr>
        <w:spacing w:line="360" w:lineRule="auto"/>
        <w:rPr>
          <w:rFonts w:eastAsiaTheme="minorEastAsia"/>
          <w:shd w:val="clear" w:color="auto" w:fill="FFFFFF"/>
        </w:rPr>
      </w:pPr>
      <w:r w:rsidRPr="003674FB">
        <w:rPr>
          <w:rFonts w:eastAsiaTheme="minorEastAsia"/>
          <w:shd w:val="clear" w:color="auto" w:fill="FFFFFF"/>
        </w:rPr>
        <w:t xml:space="preserve">The ‘Parameters’ column in </w:t>
      </w:r>
      <w:r w:rsidRPr="003674FB">
        <w:rPr>
          <w:rFonts w:eastAsiaTheme="minorEastAsia"/>
          <w:b/>
          <w:shd w:val="clear" w:color="auto" w:fill="FFFFFF"/>
        </w:rPr>
        <w:t xml:space="preserve">Table </w:t>
      </w:r>
      <w:r>
        <w:rPr>
          <w:rFonts w:eastAsiaTheme="minorEastAsia"/>
          <w:b/>
          <w:shd w:val="clear" w:color="auto" w:fill="FFFFFF"/>
        </w:rPr>
        <w:t>2</w:t>
      </w:r>
      <w:r w:rsidRPr="003674FB">
        <w:rPr>
          <w:rFonts w:eastAsiaTheme="minorEastAsia"/>
          <w:shd w:val="clear" w:color="auto" w:fill="FFFFFF"/>
        </w:rPr>
        <w:t xml:space="preserve"> lists the independent variables considered. The dependent variable is conceptualised to be the distance between the act</w:t>
      </w:r>
      <w:r>
        <w:rPr>
          <w:rFonts w:eastAsiaTheme="minorEastAsia"/>
          <w:shd w:val="clear" w:color="auto" w:fill="FFFFFF"/>
        </w:rPr>
        <w:t>ual outcome and the integrative</w:t>
      </w:r>
      <w:r w:rsidRPr="003674FB">
        <w:rPr>
          <w:rFonts w:eastAsiaTheme="minorEastAsia"/>
          <w:shd w:val="clear" w:color="auto" w:fill="FFFFFF"/>
        </w:rPr>
        <w:t xml:space="preserve"> outcome</w:t>
      </w:r>
      <w:r>
        <w:rPr>
          <w:rFonts w:eastAsiaTheme="minorEastAsia"/>
          <w:shd w:val="clear" w:color="auto" w:fill="FFFFFF"/>
        </w:rPr>
        <w:t xml:space="preserve"> (t=5)</w:t>
      </w:r>
      <w:r w:rsidRPr="003674FB">
        <w:rPr>
          <w:rFonts w:eastAsiaTheme="minorEastAsia"/>
          <w:shd w:val="clear" w:color="auto" w:fill="FFFFFF"/>
        </w:rPr>
        <w:t>.</w:t>
      </w:r>
      <w:r>
        <w:rPr>
          <w:rFonts w:eastAsiaTheme="minorEastAsia"/>
          <w:shd w:val="clear" w:color="auto" w:fill="FFFFFF"/>
        </w:rPr>
        <w:t xml:space="preserve"> Indeed, the quality of negotiated outcomes may be assessed based on the extent to which integrative potential </w:t>
      </w:r>
      <w:r w:rsidRPr="008F7A8E">
        <w:rPr>
          <w:rFonts w:eastAsiaTheme="minorEastAsia"/>
          <w:shd w:val="clear" w:color="auto" w:fill="FFFFFF"/>
        </w:rPr>
        <w:t>is exploited (Birke and Fox, 1999). Lawyers</w:t>
      </w:r>
      <w:r w:rsidRPr="003674FB">
        <w:rPr>
          <w:rFonts w:eastAsiaTheme="minorEastAsia"/>
          <w:shd w:val="clear" w:color="auto" w:fill="FFFFFF"/>
        </w:rPr>
        <w:t xml:space="preserve"> are said to overinvest if the game is predicted to </w:t>
      </w:r>
      <w:r>
        <w:rPr>
          <w:rFonts w:eastAsiaTheme="minorEastAsia"/>
          <w:shd w:val="clear" w:color="auto" w:fill="FFFFFF"/>
        </w:rPr>
        <w:t xml:space="preserve">terminate past the integrative outcome </w:t>
      </w:r>
      <w:r w:rsidRPr="003674FB">
        <w:rPr>
          <w:rFonts w:eastAsiaTheme="minorEastAsia"/>
          <w:shd w:val="clear" w:color="auto" w:fill="FFFFFF"/>
        </w:rPr>
        <w:t xml:space="preserve">and underinvest if the game is predicted to terminate before it. The ‘Level of Investment’ column lists the corresponding predictions of the lawyer’s investment levels under the outlined parameters. </w:t>
      </w:r>
    </w:p>
    <w:p w14:paraId="1D848CEF" w14:textId="77777777" w:rsidR="002E6B0B" w:rsidRPr="00004AC8" w:rsidRDefault="002E6B0B" w:rsidP="00EE0446">
      <w:pPr>
        <w:spacing w:line="360" w:lineRule="auto"/>
        <w:rPr>
          <w:rFonts w:eastAsiaTheme="minorEastAsia"/>
          <w:shd w:val="clear" w:color="auto" w:fill="FFFFFF"/>
        </w:rPr>
      </w:pPr>
    </w:p>
    <w:p w14:paraId="18C2AFAF" w14:textId="77777777" w:rsidR="00EE0446" w:rsidRPr="003674FB" w:rsidRDefault="00EE0446" w:rsidP="00EE0446">
      <w:pPr>
        <w:spacing w:line="360" w:lineRule="auto"/>
        <w:outlineLvl w:val="0"/>
        <w:rPr>
          <w:rFonts w:eastAsiaTheme="minorEastAsia"/>
          <w:b/>
          <w:bCs/>
          <w:iCs/>
          <w:u w:val="single"/>
          <w:shd w:val="clear" w:color="auto" w:fill="FFFFFF"/>
        </w:rPr>
      </w:pPr>
      <w:r w:rsidRPr="003674FB">
        <w:rPr>
          <w:rFonts w:eastAsiaTheme="minorEastAsia"/>
          <w:b/>
          <w:bCs/>
          <w:iCs/>
          <w:u w:val="single"/>
          <w:shd w:val="clear" w:color="auto" w:fill="FFFFFF"/>
        </w:rPr>
        <w:t>Tab</w:t>
      </w:r>
      <w:r>
        <w:rPr>
          <w:rFonts w:eastAsiaTheme="minorEastAsia"/>
          <w:b/>
          <w:bCs/>
          <w:iCs/>
          <w:u w:val="single"/>
          <w:shd w:val="clear" w:color="auto" w:fill="FFFFFF"/>
        </w:rPr>
        <w:t>le 2</w:t>
      </w:r>
      <w:r w:rsidRPr="003674FB">
        <w:rPr>
          <w:rFonts w:eastAsiaTheme="minorEastAsia"/>
          <w:b/>
          <w:bCs/>
          <w:iCs/>
          <w:u w:val="single"/>
          <w:shd w:val="clear" w:color="auto" w:fill="FFFFFF"/>
        </w:rPr>
        <w:t xml:space="preserve">: Predictions </w:t>
      </w:r>
    </w:p>
    <w:tbl>
      <w:tblPr>
        <w:tblpPr w:leftFromText="180" w:rightFromText="180" w:vertAnchor="text" w:horzAnchor="page" w:tblpX="1450" w:tblpY="60"/>
        <w:tblW w:w="943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339"/>
        <w:gridCol w:w="3950"/>
        <w:gridCol w:w="3143"/>
      </w:tblGrid>
      <w:tr w:rsidR="00EE0446" w:rsidRPr="003674FB" w14:paraId="42911CAB" w14:textId="77777777" w:rsidTr="0086456F">
        <w:trPr>
          <w:trHeight w:val="340"/>
        </w:trPr>
        <w:tc>
          <w:tcPr>
            <w:tcW w:w="2339" w:type="dxa"/>
          </w:tcPr>
          <w:p w14:paraId="7FDA8930" w14:textId="77777777" w:rsidR="00EE0446" w:rsidRPr="003674FB" w:rsidRDefault="00EE0446" w:rsidP="0086456F">
            <w:pPr>
              <w:spacing w:line="360" w:lineRule="auto"/>
              <w:jc w:val="center"/>
              <w:rPr>
                <w:rFonts w:eastAsiaTheme="minorEastAsia"/>
                <w:b/>
                <w:bCs/>
                <w:iCs/>
                <w:shd w:val="clear" w:color="auto" w:fill="FFFFFF"/>
              </w:rPr>
            </w:pPr>
            <w:r w:rsidRPr="003674FB">
              <w:rPr>
                <w:rFonts w:eastAsiaTheme="minorEastAsia"/>
                <w:b/>
                <w:bCs/>
                <w:iCs/>
                <w:shd w:val="clear" w:color="auto" w:fill="FFFFFF"/>
              </w:rPr>
              <w:t>Proposition</w:t>
            </w:r>
          </w:p>
        </w:tc>
        <w:tc>
          <w:tcPr>
            <w:tcW w:w="3950" w:type="dxa"/>
          </w:tcPr>
          <w:p w14:paraId="7DCDF49D" w14:textId="77777777" w:rsidR="00EE0446" w:rsidRPr="003674FB" w:rsidRDefault="00EE0446" w:rsidP="0086456F">
            <w:pPr>
              <w:spacing w:line="360" w:lineRule="auto"/>
              <w:jc w:val="center"/>
              <w:rPr>
                <w:rFonts w:eastAsiaTheme="minorEastAsia"/>
                <w:b/>
                <w:bCs/>
                <w:iCs/>
                <w:shd w:val="clear" w:color="auto" w:fill="FFFFFF"/>
              </w:rPr>
            </w:pPr>
            <w:r w:rsidRPr="003674FB">
              <w:rPr>
                <w:rFonts w:eastAsiaTheme="minorEastAsia"/>
                <w:b/>
                <w:bCs/>
                <w:iCs/>
                <w:shd w:val="clear" w:color="auto" w:fill="FFFFFF"/>
              </w:rPr>
              <w:t>Parameters</w:t>
            </w:r>
          </w:p>
        </w:tc>
        <w:tc>
          <w:tcPr>
            <w:tcW w:w="3143" w:type="dxa"/>
          </w:tcPr>
          <w:p w14:paraId="612E26BD" w14:textId="77777777" w:rsidR="00EE0446" w:rsidRPr="003674FB" w:rsidRDefault="00EE0446" w:rsidP="0086456F">
            <w:pPr>
              <w:spacing w:line="360" w:lineRule="auto"/>
              <w:jc w:val="center"/>
              <w:rPr>
                <w:rFonts w:eastAsiaTheme="minorEastAsia"/>
                <w:b/>
                <w:bCs/>
                <w:iCs/>
                <w:shd w:val="clear" w:color="auto" w:fill="FFFFFF"/>
              </w:rPr>
            </w:pPr>
            <w:r w:rsidRPr="003674FB">
              <w:rPr>
                <w:rFonts w:eastAsiaTheme="minorEastAsia"/>
                <w:b/>
                <w:bCs/>
                <w:iCs/>
                <w:shd w:val="clear" w:color="auto" w:fill="FFFFFF"/>
              </w:rPr>
              <w:t>Level of Investment</w:t>
            </w:r>
          </w:p>
        </w:tc>
      </w:tr>
      <w:tr w:rsidR="00EE0446" w:rsidRPr="003674FB" w14:paraId="2BF9F176" w14:textId="77777777" w:rsidTr="0086456F">
        <w:trPr>
          <w:trHeight w:val="354"/>
        </w:trPr>
        <w:tc>
          <w:tcPr>
            <w:tcW w:w="2339" w:type="dxa"/>
          </w:tcPr>
          <w:p w14:paraId="54059733" w14:textId="77777777" w:rsidR="00EE0446" w:rsidRPr="000D2DC9" w:rsidRDefault="00EE0446" w:rsidP="0086456F">
            <w:pPr>
              <w:spacing w:line="360" w:lineRule="auto"/>
              <w:jc w:val="center"/>
              <w:rPr>
                <w:rFonts w:eastAsiaTheme="minorEastAsia"/>
                <w:bCs/>
                <w:iCs/>
                <w:shd w:val="clear" w:color="auto" w:fill="FFFFFF"/>
              </w:rPr>
            </w:pPr>
            <w:r w:rsidRPr="000D2DC9">
              <w:rPr>
                <w:rFonts w:eastAsiaTheme="minorEastAsia"/>
                <w:bCs/>
                <w:iCs/>
                <w:shd w:val="clear" w:color="auto" w:fill="FFFFFF"/>
              </w:rPr>
              <w:t>1</w:t>
            </w:r>
          </w:p>
        </w:tc>
        <w:tc>
          <w:tcPr>
            <w:tcW w:w="3950" w:type="dxa"/>
          </w:tcPr>
          <w:p w14:paraId="75865983" w14:textId="77777777" w:rsidR="00EE0446" w:rsidRPr="003674FB" w:rsidRDefault="00EE0446" w:rsidP="0086456F">
            <w:pPr>
              <w:spacing w:line="360" w:lineRule="auto"/>
              <w:jc w:val="center"/>
              <w:rPr>
                <w:rFonts w:eastAsiaTheme="minorEastAsia"/>
                <w:bCs/>
                <w:iCs/>
                <w:shd w:val="clear" w:color="auto" w:fill="FFFFFF"/>
              </w:rPr>
            </w:pPr>
            <w:r w:rsidRPr="003674FB">
              <w:rPr>
                <w:rFonts w:eastAsiaTheme="minorEastAsia"/>
                <w:bCs/>
                <w:iCs/>
                <w:shd w:val="clear" w:color="auto" w:fill="FFFFFF"/>
              </w:rPr>
              <w:t>Equal Hourly-Rates</w:t>
            </w:r>
          </w:p>
        </w:tc>
        <w:tc>
          <w:tcPr>
            <w:tcW w:w="3143" w:type="dxa"/>
          </w:tcPr>
          <w:p w14:paraId="3E24FC90" w14:textId="77777777" w:rsidR="00EE0446" w:rsidRPr="003674FB" w:rsidRDefault="00EE0446" w:rsidP="0086456F">
            <w:pPr>
              <w:spacing w:line="360" w:lineRule="auto"/>
              <w:jc w:val="center"/>
              <w:rPr>
                <w:rFonts w:eastAsiaTheme="minorEastAsia"/>
                <w:bCs/>
                <w:iCs/>
                <w:shd w:val="clear" w:color="auto" w:fill="FFFFFF"/>
              </w:rPr>
            </w:pPr>
            <w:r w:rsidRPr="003674FB">
              <w:rPr>
                <w:rFonts w:eastAsiaTheme="minorEastAsia"/>
                <w:bCs/>
                <w:iCs/>
                <w:shd w:val="clear" w:color="auto" w:fill="FFFFFF"/>
              </w:rPr>
              <w:t xml:space="preserve">Overinvestment </w:t>
            </w:r>
          </w:p>
        </w:tc>
      </w:tr>
      <w:tr w:rsidR="00EE0446" w:rsidRPr="003674FB" w14:paraId="1A8DA2BD" w14:textId="77777777" w:rsidTr="0086456F">
        <w:trPr>
          <w:trHeight w:val="260"/>
        </w:trPr>
        <w:tc>
          <w:tcPr>
            <w:tcW w:w="2339" w:type="dxa"/>
          </w:tcPr>
          <w:p w14:paraId="2EB10AD8" w14:textId="77777777" w:rsidR="00EE0446" w:rsidRPr="000D2DC9" w:rsidRDefault="00EE0446" w:rsidP="0086456F">
            <w:pPr>
              <w:spacing w:line="360" w:lineRule="auto"/>
              <w:jc w:val="center"/>
              <w:rPr>
                <w:rFonts w:eastAsiaTheme="minorEastAsia"/>
                <w:bCs/>
                <w:iCs/>
                <w:shd w:val="clear" w:color="auto" w:fill="FFFFFF"/>
              </w:rPr>
            </w:pPr>
            <w:r w:rsidRPr="000D2DC9">
              <w:rPr>
                <w:rFonts w:eastAsiaTheme="minorEastAsia"/>
                <w:bCs/>
                <w:iCs/>
                <w:shd w:val="clear" w:color="auto" w:fill="FFFFFF"/>
              </w:rPr>
              <w:t>2</w:t>
            </w:r>
          </w:p>
        </w:tc>
        <w:tc>
          <w:tcPr>
            <w:tcW w:w="3950" w:type="dxa"/>
          </w:tcPr>
          <w:p w14:paraId="58F9C52D" w14:textId="1307DAE0" w:rsidR="00EE0446" w:rsidRPr="00CE44D6" w:rsidRDefault="00EE0446" w:rsidP="00CE44D6">
            <w:pPr>
              <w:spacing w:line="360" w:lineRule="auto"/>
              <w:jc w:val="center"/>
              <w:rPr>
                <w:rFonts w:eastAsiaTheme="minorEastAsia"/>
                <w:bCs/>
                <w:iCs/>
                <w:shd w:val="clear" w:color="auto" w:fill="FFFFFF"/>
              </w:rPr>
            </w:pPr>
            <w:r w:rsidRPr="003674FB">
              <w:rPr>
                <w:rFonts w:eastAsiaTheme="minorEastAsia"/>
                <w:bCs/>
                <w:iCs/>
                <w:shd w:val="clear" w:color="auto" w:fill="FFFFFF"/>
              </w:rPr>
              <w:t>Unequal Hourly-Rates</w:t>
            </w:r>
            <w:r>
              <w:rPr>
                <w:rFonts w:eastAsiaTheme="minorEastAsia"/>
                <w:bCs/>
                <w:iCs/>
                <w:shd w:val="clear" w:color="auto" w:fill="FFFFFF"/>
              </w:rPr>
              <w:t xml:space="preserve"> </w:t>
            </w:r>
            <w:r w:rsidR="00CE44D6">
              <w:rPr>
                <w:rFonts w:eastAsiaTheme="minorEastAsia"/>
                <w:bCs/>
                <w:iCs/>
                <w:shd w:val="clear" w:color="auto" w:fill="FFFFFF"/>
              </w:rPr>
              <w:t>(</w:t>
            </w:r>
            <w:r>
              <w:rPr>
                <w:rFonts w:eastAsiaTheme="minorEastAsia"/>
                <w:bCs/>
                <w:iCs/>
                <w:shd w:val="clear" w:color="auto" w:fill="FFFFFF"/>
              </w:rPr>
              <w:t>L</w:t>
            </w:r>
            <w:r>
              <w:rPr>
                <w:rFonts w:eastAsiaTheme="minorEastAsia"/>
                <w:bCs/>
                <w:iCs/>
                <w:shd w:val="clear" w:color="auto" w:fill="FFFFFF"/>
                <w:vertAlign w:val="subscript"/>
              </w:rPr>
              <w:t xml:space="preserve">1 </w:t>
            </w:r>
            <w:r>
              <w:rPr>
                <w:rFonts w:eastAsiaTheme="minorEastAsia"/>
                <w:bCs/>
                <w:iCs/>
                <w:shd w:val="clear" w:color="auto" w:fill="FFFFFF"/>
              </w:rPr>
              <w:t>earning higher hourly-rates than L</w:t>
            </w:r>
            <w:r>
              <w:rPr>
                <w:rFonts w:eastAsiaTheme="minorEastAsia"/>
                <w:bCs/>
                <w:iCs/>
                <w:shd w:val="clear" w:color="auto" w:fill="FFFFFF"/>
                <w:vertAlign w:val="subscript"/>
              </w:rPr>
              <w:t>2</w:t>
            </w:r>
            <w:r w:rsidR="00CE44D6">
              <w:rPr>
                <w:rFonts w:eastAsiaTheme="minorEastAsia"/>
                <w:bCs/>
                <w:iCs/>
                <w:shd w:val="clear" w:color="auto" w:fill="FFFFFF"/>
              </w:rPr>
              <w:t>)</w:t>
            </w:r>
          </w:p>
        </w:tc>
        <w:tc>
          <w:tcPr>
            <w:tcW w:w="3143" w:type="dxa"/>
          </w:tcPr>
          <w:p w14:paraId="010E3ED8" w14:textId="77777777" w:rsidR="00EE0446" w:rsidRPr="003674FB" w:rsidRDefault="00EE0446" w:rsidP="0086456F">
            <w:pPr>
              <w:spacing w:line="360" w:lineRule="auto"/>
              <w:jc w:val="center"/>
              <w:rPr>
                <w:rFonts w:eastAsiaTheme="minorEastAsia"/>
                <w:bCs/>
                <w:iCs/>
                <w:shd w:val="clear" w:color="auto" w:fill="FFFFFF"/>
              </w:rPr>
            </w:pPr>
            <w:r w:rsidRPr="00F52C56">
              <w:rPr>
                <w:rFonts w:eastAsiaTheme="minorEastAsia"/>
                <w:bCs/>
                <w:iCs/>
                <w:color w:val="000000" w:themeColor="text1"/>
                <w:shd w:val="clear" w:color="auto" w:fill="FFFFFF"/>
              </w:rPr>
              <w:t>Overinvestment</w:t>
            </w:r>
          </w:p>
        </w:tc>
      </w:tr>
      <w:tr w:rsidR="00EE0446" w:rsidRPr="003674FB" w14:paraId="516E46A4" w14:textId="77777777" w:rsidTr="0086456F">
        <w:trPr>
          <w:trHeight w:val="719"/>
        </w:trPr>
        <w:tc>
          <w:tcPr>
            <w:tcW w:w="2339" w:type="dxa"/>
          </w:tcPr>
          <w:p w14:paraId="46A8DDF7" w14:textId="77777777" w:rsidR="00EE0446" w:rsidRPr="000D2DC9" w:rsidRDefault="00EE0446" w:rsidP="0086456F">
            <w:pPr>
              <w:spacing w:line="360" w:lineRule="auto"/>
              <w:jc w:val="center"/>
              <w:rPr>
                <w:rFonts w:eastAsiaTheme="minorEastAsia"/>
                <w:bCs/>
                <w:iCs/>
                <w:shd w:val="clear" w:color="auto" w:fill="FFFFFF"/>
              </w:rPr>
            </w:pPr>
            <w:r w:rsidRPr="000D2DC9">
              <w:rPr>
                <w:rFonts w:eastAsiaTheme="minorEastAsia"/>
                <w:bCs/>
                <w:iCs/>
                <w:shd w:val="clear" w:color="auto" w:fill="FFFFFF"/>
              </w:rPr>
              <w:t>3</w:t>
            </w:r>
          </w:p>
        </w:tc>
        <w:tc>
          <w:tcPr>
            <w:tcW w:w="3950" w:type="dxa"/>
          </w:tcPr>
          <w:p w14:paraId="57581FA3" w14:textId="77777777" w:rsidR="00EE0446" w:rsidRPr="003674FB" w:rsidRDefault="00EE0446" w:rsidP="0086456F">
            <w:pPr>
              <w:spacing w:line="360" w:lineRule="auto"/>
              <w:jc w:val="center"/>
              <w:rPr>
                <w:rFonts w:eastAsiaTheme="minorEastAsia"/>
                <w:bCs/>
                <w:iCs/>
                <w:shd w:val="clear" w:color="auto" w:fill="FFFFFF"/>
              </w:rPr>
            </w:pPr>
            <w:r>
              <w:rPr>
                <w:rFonts w:eastAsiaTheme="minorEastAsia"/>
                <w:bCs/>
                <w:iCs/>
                <w:shd w:val="clear" w:color="auto" w:fill="FFFFFF"/>
              </w:rPr>
              <w:t>Equal Hourly-R</w:t>
            </w:r>
            <w:r w:rsidRPr="003674FB">
              <w:rPr>
                <w:rFonts w:eastAsiaTheme="minorEastAsia"/>
                <w:bCs/>
                <w:iCs/>
                <w:shd w:val="clear" w:color="auto" w:fill="FFFFFF"/>
              </w:rPr>
              <w:t xml:space="preserve">ates with Reputational Incentives </w:t>
            </w:r>
          </w:p>
        </w:tc>
        <w:tc>
          <w:tcPr>
            <w:tcW w:w="3143" w:type="dxa"/>
          </w:tcPr>
          <w:p w14:paraId="6AC29CB5" w14:textId="77777777" w:rsidR="00EE0446" w:rsidRPr="003674FB" w:rsidRDefault="00EE0446" w:rsidP="0086456F">
            <w:pPr>
              <w:spacing w:line="360" w:lineRule="auto"/>
              <w:jc w:val="center"/>
              <w:rPr>
                <w:rFonts w:eastAsiaTheme="minorEastAsia"/>
                <w:bCs/>
                <w:iCs/>
                <w:shd w:val="clear" w:color="auto" w:fill="FFFFFF"/>
              </w:rPr>
            </w:pPr>
            <w:r w:rsidRPr="003674FB">
              <w:rPr>
                <w:rFonts w:eastAsiaTheme="minorEastAsia"/>
                <w:bCs/>
                <w:iCs/>
                <w:shd w:val="clear" w:color="auto" w:fill="FFFFFF"/>
              </w:rPr>
              <w:t xml:space="preserve">Overinvestment </w:t>
            </w:r>
          </w:p>
          <w:p w14:paraId="4702CC8E" w14:textId="77777777" w:rsidR="00EE0446" w:rsidRPr="003674FB" w:rsidRDefault="00EE0446" w:rsidP="0086456F">
            <w:pPr>
              <w:spacing w:line="360" w:lineRule="auto"/>
              <w:jc w:val="center"/>
              <w:rPr>
                <w:rFonts w:eastAsiaTheme="minorEastAsia"/>
                <w:bCs/>
                <w:iCs/>
                <w:shd w:val="clear" w:color="auto" w:fill="FFFFFF"/>
              </w:rPr>
            </w:pPr>
          </w:p>
        </w:tc>
      </w:tr>
      <w:tr w:rsidR="00EE0446" w:rsidRPr="003674FB" w14:paraId="4172CA13" w14:textId="77777777" w:rsidTr="0086456F">
        <w:trPr>
          <w:trHeight w:val="687"/>
        </w:trPr>
        <w:tc>
          <w:tcPr>
            <w:tcW w:w="2339" w:type="dxa"/>
          </w:tcPr>
          <w:p w14:paraId="0E98E05E" w14:textId="77777777" w:rsidR="00EE0446" w:rsidRPr="000D2DC9" w:rsidRDefault="00EE0446" w:rsidP="0086456F">
            <w:pPr>
              <w:spacing w:line="360" w:lineRule="auto"/>
              <w:jc w:val="center"/>
              <w:rPr>
                <w:rFonts w:eastAsiaTheme="minorEastAsia"/>
                <w:bCs/>
                <w:iCs/>
                <w:shd w:val="clear" w:color="auto" w:fill="FFFFFF"/>
              </w:rPr>
            </w:pPr>
            <w:r w:rsidRPr="000D2DC9">
              <w:rPr>
                <w:rFonts w:eastAsiaTheme="minorEastAsia"/>
                <w:bCs/>
                <w:iCs/>
                <w:shd w:val="clear" w:color="auto" w:fill="FFFFFF"/>
              </w:rPr>
              <w:t>4</w:t>
            </w:r>
          </w:p>
        </w:tc>
        <w:tc>
          <w:tcPr>
            <w:tcW w:w="3950" w:type="dxa"/>
          </w:tcPr>
          <w:p w14:paraId="19E42103" w14:textId="77777777" w:rsidR="00EE0446" w:rsidRPr="003674FB" w:rsidRDefault="00EE0446" w:rsidP="0086456F">
            <w:pPr>
              <w:spacing w:line="360" w:lineRule="auto"/>
              <w:jc w:val="center"/>
              <w:rPr>
                <w:rFonts w:eastAsiaTheme="minorEastAsia"/>
                <w:bCs/>
                <w:iCs/>
                <w:shd w:val="clear" w:color="auto" w:fill="FFFFFF"/>
              </w:rPr>
            </w:pPr>
            <w:r w:rsidRPr="003674FB">
              <w:rPr>
                <w:rFonts w:eastAsiaTheme="minorEastAsia"/>
                <w:bCs/>
                <w:iCs/>
                <w:shd w:val="clear" w:color="auto" w:fill="FFFFFF"/>
              </w:rPr>
              <w:t>E</w:t>
            </w:r>
            <w:r>
              <w:rPr>
                <w:rFonts w:eastAsiaTheme="minorEastAsia"/>
                <w:bCs/>
                <w:iCs/>
                <w:shd w:val="clear" w:color="auto" w:fill="FFFFFF"/>
              </w:rPr>
              <w:t>qual Hourly-R</w:t>
            </w:r>
            <w:r w:rsidRPr="003674FB">
              <w:rPr>
                <w:rFonts w:eastAsiaTheme="minorEastAsia"/>
                <w:bCs/>
                <w:iCs/>
                <w:shd w:val="clear" w:color="auto" w:fill="FFFFFF"/>
              </w:rPr>
              <w:t xml:space="preserve">ates with Reputational Incentives and trials </w:t>
            </w:r>
          </w:p>
        </w:tc>
        <w:tc>
          <w:tcPr>
            <w:tcW w:w="3143" w:type="dxa"/>
          </w:tcPr>
          <w:p w14:paraId="5FD31FAB" w14:textId="77777777" w:rsidR="00EE0446" w:rsidRPr="003674FB" w:rsidRDefault="00EE0446" w:rsidP="0086456F">
            <w:pPr>
              <w:spacing w:line="360" w:lineRule="auto"/>
              <w:jc w:val="center"/>
              <w:rPr>
                <w:rFonts w:eastAsiaTheme="minorEastAsia"/>
                <w:bCs/>
                <w:iCs/>
                <w:shd w:val="clear" w:color="auto" w:fill="FFFFFF"/>
              </w:rPr>
            </w:pPr>
            <w:r w:rsidRPr="003674FB">
              <w:rPr>
                <w:rFonts w:eastAsiaTheme="minorEastAsia"/>
                <w:bCs/>
                <w:iCs/>
                <w:shd w:val="clear" w:color="auto" w:fill="FFFFFF"/>
              </w:rPr>
              <w:t xml:space="preserve">Overinvestment </w:t>
            </w:r>
          </w:p>
        </w:tc>
      </w:tr>
    </w:tbl>
    <w:p w14:paraId="57DCCB8E" w14:textId="77777777" w:rsidR="00DA1A21" w:rsidRDefault="00DA1A21" w:rsidP="00EE0446">
      <w:pPr>
        <w:spacing w:line="360" w:lineRule="auto"/>
        <w:outlineLvl w:val="0"/>
        <w:rPr>
          <w:rFonts w:eastAsiaTheme="minorEastAsia"/>
          <w:b/>
          <w:shd w:val="clear" w:color="auto" w:fill="FFFFFF"/>
        </w:rPr>
      </w:pPr>
    </w:p>
    <w:p w14:paraId="1A754960" w14:textId="77777777" w:rsidR="00EE0446" w:rsidRPr="000F1DC5" w:rsidRDefault="00EE0446" w:rsidP="00EE0446">
      <w:pPr>
        <w:spacing w:line="360" w:lineRule="auto"/>
        <w:outlineLvl w:val="0"/>
        <w:rPr>
          <w:rFonts w:eastAsiaTheme="minorEastAsia"/>
        </w:rPr>
      </w:pPr>
      <w:r w:rsidRPr="000F1DC5">
        <w:rPr>
          <w:rFonts w:eastAsiaTheme="minorEastAsia"/>
          <w:b/>
          <w:shd w:val="clear" w:color="auto" w:fill="FFFFFF"/>
        </w:rPr>
        <w:t>P</w:t>
      </w:r>
      <w:r>
        <w:rPr>
          <w:rFonts w:eastAsiaTheme="minorEastAsia"/>
          <w:b/>
          <w:shd w:val="clear" w:color="auto" w:fill="FFFFFF"/>
        </w:rPr>
        <w:t xml:space="preserve">roposition </w:t>
      </w:r>
      <w:r w:rsidRPr="000F1DC5">
        <w:rPr>
          <w:rFonts w:eastAsiaTheme="minorEastAsia"/>
          <w:b/>
          <w:shd w:val="clear" w:color="auto" w:fill="FFFFFF"/>
        </w:rPr>
        <w:t xml:space="preserve">1: The typical lawyer will overinvest when earning equal hourly-rates. </w:t>
      </w:r>
    </w:p>
    <w:p w14:paraId="208CB74D" w14:textId="77777777" w:rsidR="00EE0446" w:rsidRPr="00DC1147" w:rsidRDefault="00EE0446" w:rsidP="00EE0446">
      <w:pPr>
        <w:spacing w:line="360" w:lineRule="auto"/>
        <w:rPr>
          <w:rFonts w:eastAsiaTheme="minorEastAsia"/>
        </w:rPr>
      </w:pPr>
      <w:r w:rsidRPr="00DC1147">
        <w:rPr>
          <w:rFonts w:eastAsiaTheme="minorEastAsia"/>
          <w:bCs/>
          <w:iCs/>
          <w:shd w:val="clear" w:color="auto" w:fill="FFFFFF"/>
        </w:rPr>
        <w:t xml:space="preserve">Equal hourly-rates means </w:t>
      </w:r>
      <m:oMath>
        <m:r>
          <w:rPr>
            <w:rFonts w:ascii="Cambria Math" w:eastAsiaTheme="minorEastAsia" w:hAnsi="Cambria Math"/>
          </w:rPr>
          <m:t>α</m:t>
        </m:r>
      </m:oMath>
      <w:r w:rsidRPr="00DC1147">
        <w:rPr>
          <w:rFonts w:eastAsiaTheme="minorEastAsia"/>
        </w:rPr>
        <w:t>(</w:t>
      </w:r>
      <w:r w:rsidRPr="00DC1147">
        <w:t>X</w:t>
      </w:r>
      <w:r w:rsidRPr="00DC1147">
        <w:rPr>
          <w:vertAlign w:val="subscript"/>
        </w:rPr>
        <w:t xml:space="preserve">L1,t </w:t>
      </w:r>
      <w:r w:rsidRPr="00DC1147">
        <w:t>– X</w:t>
      </w:r>
      <w:r w:rsidRPr="00DC1147">
        <w:rPr>
          <w:vertAlign w:val="subscript"/>
        </w:rPr>
        <w:t>L2,t</w:t>
      </w:r>
      <w:r w:rsidRPr="00DC1147">
        <w:t>) = 0</w:t>
      </w:r>
      <w:r>
        <w:t>,</w:t>
      </w:r>
      <w:r w:rsidRPr="00DC1147">
        <w:t xml:space="preserve"> </w:t>
      </w:r>
      <w:r w:rsidRPr="00DC1147">
        <w:rPr>
          <w:rFonts w:eastAsiaTheme="minorEastAsia"/>
        </w:rPr>
        <w:t xml:space="preserve">and </w:t>
      </w:r>
      <m:oMath>
        <m:r>
          <w:rPr>
            <w:rFonts w:ascii="Cambria Math" w:eastAsiaTheme="minorEastAsia" w:hAnsi="Cambria Math"/>
          </w:rPr>
          <m:t>β</m:t>
        </m:r>
      </m:oMath>
      <w:r w:rsidRPr="00DC1147">
        <w:rPr>
          <w:rFonts w:eastAsiaTheme="minorEastAsia"/>
        </w:rPr>
        <w:t>(X</w:t>
      </w:r>
      <w:r w:rsidRPr="00DC1147">
        <w:rPr>
          <w:rFonts w:eastAsiaTheme="minorEastAsia"/>
          <w:vertAlign w:val="subscript"/>
        </w:rPr>
        <w:t xml:space="preserve">L2,t </w:t>
      </w:r>
      <w:r w:rsidRPr="00DC1147">
        <w:rPr>
          <w:rFonts w:eastAsiaTheme="minorEastAsia"/>
        </w:rPr>
        <w:t>– X</w:t>
      </w:r>
      <w:r w:rsidRPr="00DC1147">
        <w:rPr>
          <w:rFonts w:eastAsiaTheme="minorEastAsia"/>
          <w:vertAlign w:val="subscript"/>
        </w:rPr>
        <w:t>L1,t</w:t>
      </w:r>
      <w:r w:rsidRPr="00DC1147">
        <w:rPr>
          <w:rFonts w:eastAsiaTheme="minorEastAsia"/>
        </w:rPr>
        <w:t xml:space="preserve">) = 0. Additionally, without </w:t>
      </w:r>
      <w:r>
        <w:rPr>
          <w:rFonts w:eastAsiaTheme="minorEastAsia"/>
        </w:rPr>
        <w:t>reputational incentives, r</w:t>
      </w:r>
      <w:r w:rsidRPr="00DC1147">
        <w:rPr>
          <w:rFonts w:eastAsiaTheme="minorEastAsia"/>
        </w:rPr>
        <w:t>(D</w:t>
      </w:r>
      <w:r w:rsidRPr="00DC1147">
        <w:rPr>
          <w:rFonts w:eastAsiaTheme="minorEastAsia"/>
          <w:vertAlign w:val="subscript"/>
        </w:rPr>
        <w:t xml:space="preserve">C2,t </w:t>
      </w:r>
      <w:r w:rsidRPr="00DC1147">
        <w:rPr>
          <w:rFonts w:eastAsiaTheme="minorEastAsia"/>
        </w:rPr>
        <w:t>- D</w:t>
      </w:r>
      <w:r w:rsidRPr="00DC1147">
        <w:rPr>
          <w:rFonts w:eastAsiaTheme="minorEastAsia"/>
          <w:vertAlign w:val="subscript"/>
        </w:rPr>
        <w:t>C1,t</w:t>
      </w:r>
      <w:r w:rsidRPr="00DC1147">
        <w:rPr>
          <w:rFonts w:eastAsiaTheme="minorEastAsia"/>
        </w:rPr>
        <w:t xml:space="preserve">) = 0. Accordingly, </w:t>
      </w:r>
      <w:r>
        <w:rPr>
          <w:rFonts w:eastAsiaTheme="minorEastAsia"/>
          <w:b/>
        </w:rPr>
        <w:t>UF</w:t>
      </w:r>
      <w:r w:rsidRPr="00DC1147">
        <w:rPr>
          <w:rFonts w:eastAsiaTheme="minorEastAsia"/>
          <w:b/>
        </w:rPr>
        <w:t xml:space="preserve"> (5)</w:t>
      </w:r>
      <w:r w:rsidRPr="00DC1147">
        <w:rPr>
          <w:rFonts w:eastAsiaTheme="minorEastAsia"/>
        </w:rPr>
        <w:t xml:space="preserve"> presents L</w:t>
      </w:r>
      <w:r w:rsidRPr="00DC1147">
        <w:rPr>
          <w:rFonts w:eastAsiaTheme="minorEastAsia"/>
          <w:vertAlign w:val="subscript"/>
        </w:rPr>
        <w:t>2</w:t>
      </w:r>
      <w:r w:rsidRPr="00DC1147">
        <w:rPr>
          <w:rFonts w:eastAsiaTheme="minorEastAsia"/>
        </w:rPr>
        <w:t xml:space="preserve">’s utility at node t, under </w:t>
      </w:r>
      <w:r w:rsidRPr="00DC1147">
        <w:rPr>
          <w:rFonts w:eastAsiaTheme="minorEastAsia"/>
          <w:b/>
        </w:rPr>
        <w:t>P</w:t>
      </w:r>
      <w:r>
        <w:rPr>
          <w:rFonts w:eastAsiaTheme="minorEastAsia"/>
          <w:b/>
        </w:rPr>
        <w:t>roposition 1</w:t>
      </w:r>
      <w:r w:rsidRPr="00DC1147">
        <w:rPr>
          <w:rFonts w:eastAsiaTheme="minorEastAsia"/>
        </w:rPr>
        <w:t xml:space="preserve">. </w:t>
      </w:r>
    </w:p>
    <w:p w14:paraId="5160CD21" w14:textId="77777777" w:rsidR="00EE0446" w:rsidRPr="003674FB" w:rsidRDefault="00EE0446" w:rsidP="00EE0446">
      <w:pPr>
        <w:spacing w:line="360" w:lineRule="auto"/>
        <w:rPr>
          <w:rFonts w:eastAsiaTheme="minorEastAsia"/>
        </w:rPr>
      </w:pPr>
    </w:p>
    <w:p w14:paraId="09AA41C2" w14:textId="172A2DDA" w:rsidR="00EE0446" w:rsidRPr="003674FB" w:rsidRDefault="00EE0446" w:rsidP="00EE0446">
      <w:pPr>
        <w:spacing w:line="360" w:lineRule="auto"/>
        <w:rPr>
          <w:rFonts w:eastAsiaTheme="minorEastAsia"/>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 xml:space="preserve">L2,t </w:t>
      </w:r>
      <w:r w:rsidRPr="003674FB">
        <w:rPr>
          <w:rFonts w:eastAsiaTheme="minorEastAsia"/>
        </w:rPr>
        <w:t>, D</w:t>
      </w:r>
      <w:r w:rsidRPr="003674FB">
        <w:rPr>
          <w:rFonts w:eastAsiaTheme="minorEastAsia"/>
          <w:vertAlign w:val="subscript"/>
        </w:rPr>
        <w:t>C2,t</w:t>
      </w:r>
      <w:r w:rsidRPr="003674FB">
        <w:rPr>
          <w:rFonts w:eastAsiaTheme="minorEastAsia"/>
        </w:rPr>
        <w:t xml:space="preserve">) = </w:t>
      </w:r>
      <w:r w:rsidRPr="003674FB">
        <w:t>X</w:t>
      </w:r>
      <w:r w:rsidRPr="003674FB">
        <w:rPr>
          <w:vertAlign w:val="subscript"/>
        </w:rPr>
        <w:t xml:space="preserve">L2,t  </w:t>
      </w:r>
      <w:r w:rsidRPr="003674FB">
        <w:rPr>
          <w:rFonts w:eastAsiaTheme="minorEastAsia"/>
          <w:color w:val="000000" w:themeColor="text1"/>
        </w:rPr>
        <w:t xml:space="preserve">+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C2,t </w:t>
      </w:r>
      <w:r w:rsidRPr="003674FB">
        <w:rPr>
          <w:rFonts w:eastAsiaTheme="minorEastAsia"/>
          <w:color w:val="000000" w:themeColor="text1"/>
        </w:rPr>
        <w:t>– D</w:t>
      </w:r>
      <w:r w:rsidRPr="003674FB">
        <w:rPr>
          <w:rFonts w:eastAsiaTheme="minorEastAsia"/>
          <w:color w:val="000000" w:themeColor="text1"/>
          <w:vertAlign w:val="subscript"/>
        </w:rPr>
        <w:t>C2max,t</w:t>
      </w:r>
      <w:r w:rsidRPr="003674FB">
        <w:rPr>
          <w:rFonts w:eastAsiaTheme="minorEastAsia"/>
          <w:color w:val="000000" w:themeColor="text1"/>
        </w:rPr>
        <w:t>)</w:t>
      </w:r>
      <w:r w:rsidRPr="003674FB">
        <w:rPr>
          <w:rFonts w:eastAsiaTheme="minorEastAsia"/>
          <w:color w:val="000000" w:themeColor="text1"/>
        </w:rPr>
        <w:tab/>
      </w:r>
      <w:r w:rsidRPr="003674FB">
        <w:rPr>
          <w:rFonts w:eastAsiaTheme="minorEastAsia"/>
          <w:color w:val="000000" w:themeColor="text1"/>
        </w:rPr>
        <w:tab/>
      </w:r>
      <w:r w:rsidRPr="003674FB">
        <w:rPr>
          <w:rFonts w:eastAsiaTheme="minorEastAsia"/>
          <w:color w:val="000000" w:themeColor="text1"/>
        </w:rPr>
        <w:tab/>
      </w:r>
      <w:r w:rsidRPr="003674FB">
        <w:rPr>
          <w:rFonts w:eastAsiaTheme="minorEastAsia"/>
          <w:color w:val="000000" w:themeColor="text1"/>
        </w:rPr>
        <w:tab/>
      </w:r>
      <w:r w:rsidRPr="003674FB">
        <w:rPr>
          <w:rFonts w:eastAsiaTheme="minorEastAsia"/>
          <w:color w:val="000000" w:themeColor="text1"/>
        </w:rPr>
        <w:tab/>
      </w:r>
      <w:r w:rsidR="0082041E">
        <w:rPr>
          <w:rFonts w:eastAsiaTheme="minorEastAsia"/>
          <w:color w:val="000000" w:themeColor="text1"/>
        </w:rPr>
        <w:t xml:space="preserve"> </w:t>
      </w:r>
      <w:r w:rsidR="0082041E">
        <w:rPr>
          <w:rFonts w:eastAsiaTheme="minorEastAsia"/>
          <w:color w:val="000000" w:themeColor="text1"/>
        </w:rPr>
        <w:tab/>
        <w:t xml:space="preserve"> </w:t>
      </w:r>
      <w:r w:rsidRPr="003674FB">
        <w:rPr>
          <w:rFonts w:eastAsiaTheme="minorEastAsia"/>
          <w:b/>
          <w:color w:val="000000" w:themeColor="text1"/>
        </w:rPr>
        <w:t>(5)</w:t>
      </w:r>
    </w:p>
    <w:p w14:paraId="63A96FFD" w14:textId="77777777" w:rsidR="00EE0446" w:rsidRPr="003674FB" w:rsidRDefault="00EE0446" w:rsidP="00EE0446">
      <w:pPr>
        <w:spacing w:line="360" w:lineRule="auto"/>
        <w:rPr>
          <w:rFonts w:eastAsiaTheme="minorEastAsia"/>
        </w:rPr>
      </w:pPr>
    </w:p>
    <w:p w14:paraId="763A25CF" w14:textId="77777777" w:rsidR="00EE0446" w:rsidRPr="003674FB" w:rsidRDefault="00EE0446" w:rsidP="00EE0446">
      <w:pPr>
        <w:spacing w:line="360" w:lineRule="auto"/>
        <w:rPr>
          <w:rFonts w:eastAsiaTheme="minorEastAsia"/>
          <w:color w:val="000000" w:themeColor="text1"/>
          <w:sz w:val="22"/>
          <w:szCs w:val="22"/>
        </w:rPr>
      </w:pPr>
      <m:oMath>
        <m:r>
          <m:rPr>
            <m:sty m:val="p"/>
          </m:rP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 xml:space="preserve">= </w:t>
      </w:r>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(X</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w:t>
      </w:r>
      <w:r w:rsidRPr="003674FB">
        <w:rPr>
          <w:rFonts w:eastAsiaTheme="minorEastAsia"/>
          <w:color w:val="000000" w:themeColor="text1"/>
          <w:sz w:val="22"/>
          <w:szCs w:val="22"/>
        </w:rPr>
        <w:t xml:space="preserve">) - </w:t>
      </w:r>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 </w:t>
      </w:r>
      <w:r w:rsidRPr="003674FB">
        <w:rPr>
          <w:rFonts w:eastAsiaTheme="minorEastAsia"/>
          <w:color w:val="000000" w:themeColor="text1"/>
          <w:sz w:val="22"/>
          <w:szCs w:val="22"/>
        </w:rPr>
        <w:t>(X</w:t>
      </w:r>
      <w:r w:rsidRPr="003674FB">
        <w:rPr>
          <w:rFonts w:eastAsiaTheme="minorEastAsia"/>
          <w:color w:val="000000" w:themeColor="text1"/>
          <w:sz w:val="22"/>
          <w:szCs w:val="22"/>
          <w:vertAlign w:val="subscript"/>
        </w:rPr>
        <w:t xml:space="preserve">L2,t-1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C2,t-1</w:t>
      </w:r>
      <w:r w:rsidRPr="003674FB">
        <w:rPr>
          <w:rFonts w:eastAsiaTheme="minorEastAsia"/>
          <w:color w:val="000000" w:themeColor="text1"/>
          <w:sz w:val="22"/>
          <w:szCs w:val="22"/>
        </w:rPr>
        <w:t>)</w:t>
      </w:r>
    </w:p>
    <w:p w14:paraId="2FC95B6E" w14:textId="77777777" w:rsidR="00EE0446" w:rsidRPr="003674FB" w:rsidRDefault="00EE0446" w:rsidP="00EE0446">
      <w:pPr>
        <w:spacing w:line="360" w:lineRule="auto"/>
        <w:rPr>
          <w:color w:val="000000" w:themeColor="text1"/>
          <w:sz w:val="22"/>
          <w:szCs w:val="22"/>
          <w:vertAlign w:val="subscript"/>
        </w:rPr>
      </w:pPr>
      <m:oMath>
        <m:r>
          <m:rPr>
            <m:sty m:val="p"/>
          </m:rP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sidRPr="003674FB">
        <w:rPr>
          <w:rFonts w:eastAsiaTheme="minorEastAsia"/>
          <w:b/>
          <w:color w:val="000000" w:themeColor="text1"/>
          <w:sz w:val="22"/>
          <w:szCs w:val="22"/>
        </w:rPr>
        <w:t xml:space="preserve">= </w:t>
      </w:r>
      <w:r w:rsidRPr="003674FB">
        <w:rPr>
          <w:color w:val="000000" w:themeColor="text1"/>
          <w:sz w:val="22"/>
          <w:szCs w:val="22"/>
        </w:rPr>
        <w:t>X</w:t>
      </w:r>
      <w:r w:rsidRPr="003674FB">
        <w:rPr>
          <w:color w:val="000000" w:themeColor="text1"/>
          <w:sz w:val="22"/>
          <w:szCs w:val="22"/>
          <w:vertAlign w:val="subscript"/>
        </w:rPr>
        <w:t xml:space="preserve">L2,t  </w:t>
      </w:r>
      <w:r w:rsidRPr="003674FB">
        <w:rPr>
          <w:color w:val="000000" w:themeColor="text1"/>
          <w:sz w:val="22"/>
          <w:szCs w:val="22"/>
        </w:rPr>
        <w:t>- X</w:t>
      </w:r>
      <w:r w:rsidRPr="003674FB">
        <w:rPr>
          <w:color w:val="000000" w:themeColor="text1"/>
          <w:sz w:val="22"/>
          <w:szCs w:val="22"/>
          <w:vertAlign w:val="subscript"/>
        </w:rPr>
        <w:t>L2,t-1</w:t>
      </w:r>
    </w:p>
    <w:p w14:paraId="5AC54DB9" w14:textId="77777777" w:rsidR="00EE0446" w:rsidRPr="003674FB" w:rsidRDefault="00EE0446" w:rsidP="00EE0446">
      <w:pPr>
        <w:spacing w:line="360" w:lineRule="auto"/>
        <w:rPr>
          <w:color w:val="000000" w:themeColor="text1"/>
          <w:sz w:val="22"/>
          <w:szCs w:val="22"/>
        </w:rPr>
      </w:pP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C2max,t</w:t>
      </w:r>
      <w:r w:rsidRPr="003674FB">
        <w:rPr>
          <w:rFonts w:eastAsiaTheme="minorEastAsia"/>
          <w:color w:val="000000" w:themeColor="text1"/>
          <w:sz w:val="22"/>
          <w:szCs w:val="22"/>
        </w:rPr>
        <w:t xml:space="preserve">) =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C2,t-1</w:t>
      </w:r>
      <w:r w:rsidRPr="003674FB">
        <w:rPr>
          <w:rFonts w:eastAsiaTheme="minorEastAsia"/>
          <w:color w:val="000000" w:themeColor="text1"/>
          <w:sz w:val="22"/>
          <w:szCs w:val="22"/>
        </w:rPr>
        <w:t>) – (D</w:t>
      </w:r>
      <w:r w:rsidRPr="003674FB">
        <w:rPr>
          <w:rFonts w:eastAsiaTheme="minorEastAsia"/>
          <w:color w:val="000000" w:themeColor="text1"/>
          <w:sz w:val="22"/>
          <w:szCs w:val="22"/>
          <w:vertAlign w:val="subscript"/>
        </w:rPr>
        <w:t>C2max,t</w:t>
      </w:r>
      <w:r w:rsidRPr="003674FB">
        <w:rPr>
          <w:rFonts w:eastAsiaTheme="minorEastAsia"/>
          <w:color w:val="000000" w:themeColor="text1"/>
          <w:sz w:val="22"/>
          <w:szCs w:val="22"/>
        </w:rPr>
        <w:t xml:space="preserve"> - D</w:t>
      </w:r>
      <w:r w:rsidRPr="003674FB">
        <w:rPr>
          <w:rFonts w:eastAsiaTheme="minorEastAsia"/>
          <w:color w:val="000000" w:themeColor="text1"/>
          <w:sz w:val="22"/>
          <w:szCs w:val="22"/>
          <w:vertAlign w:val="subscript"/>
        </w:rPr>
        <w:t>C2max,t-1</w:t>
      </w:r>
      <w:r w:rsidRPr="003674FB">
        <w:rPr>
          <w:rFonts w:eastAsiaTheme="minorEastAsia"/>
          <w:color w:val="000000" w:themeColor="text1"/>
          <w:sz w:val="22"/>
          <w:szCs w:val="22"/>
        </w:rPr>
        <w:t>)</w:t>
      </w:r>
      <w:r>
        <w:rPr>
          <w:rFonts w:eastAsiaTheme="minorEastAsia"/>
          <w:color w:val="000000" w:themeColor="text1"/>
          <w:sz w:val="22"/>
          <w:szCs w:val="22"/>
        </w:rPr>
        <w:t>)</w:t>
      </w:r>
      <w:r w:rsidRPr="003674FB">
        <w:rPr>
          <w:rFonts w:eastAsiaTheme="minorEastAsia"/>
          <w:color w:val="000000" w:themeColor="text1"/>
          <w:sz w:val="22"/>
          <w:szCs w:val="22"/>
        </w:rPr>
        <w:t xml:space="preserve"> </w:t>
      </w:r>
      <w:r>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C2,t-1</w:t>
      </w:r>
      <w:r w:rsidRPr="003674FB">
        <w:rPr>
          <w:rFonts w:eastAsiaTheme="minorEastAsia"/>
          <w:color w:val="000000" w:themeColor="text1"/>
          <w:sz w:val="22"/>
          <w:szCs w:val="22"/>
        </w:rPr>
        <w:t>)</w:t>
      </w:r>
    </w:p>
    <w:p w14:paraId="5E4385FA" w14:textId="77777777" w:rsidR="00EE0446" w:rsidRPr="003674FB" w:rsidRDefault="00EE0446" w:rsidP="00EE0446">
      <w:pPr>
        <w:spacing w:line="360" w:lineRule="auto"/>
        <w:rPr>
          <w:rFonts w:eastAsiaTheme="minorEastAsia"/>
          <w:color w:val="000000" w:themeColor="text1"/>
          <w:sz w:val="22"/>
          <w:szCs w:val="22"/>
        </w:rPr>
      </w:pPr>
    </w:p>
    <w:p w14:paraId="5F77A481" w14:textId="77777777" w:rsidR="00EE0446" w:rsidRPr="003674FB" w:rsidRDefault="00EE0446" w:rsidP="00EE0446">
      <w:pPr>
        <w:spacing w:line="360" w:lineRule="auto"/>
        <w:rPr>
          <w:rFonts w:eastAsiaTheme="minorEastAsia"/>
          <w:color w:val="000000" w:themeColor="text1"/>
          <w:sz w:val="22"/>
          <w:szCs w:val="22"/>
          <w:shd w:val="clear" w:color="auto" w:fill="FFFFFF"/>
        </w:rPr>
      </w:pPr>
      <w:r w:rsidRPr="003674FB">
        <w:rPr>
          <w:rFonts w:eastAsiaTheme="minorEastAsia"/>
          <w:color w:val="000000" w:themeColor="text1"/>
          <w:sz w:val="22"/>
          <w:szCs w:val="22"/>
          <w:shd w:val="clear" w:color="auto" w:fill="FFFFFF"/>
        </w:rPr>
        <w:t xml:space="preserve">For the </w:t>
      </w:r>
      <w:r>
        <w:rPr>
          <w:rFonts w:eastAsiaTheme="minorEastAsia"/>
          <w:color w:val="000000" w:themeColor="text1"/>
          <w:sz w:val="22"/>
          <w:szCs w:val="22"/>
          <w:shd w:val="clear" w:color="auto" w:fill="FFFFFF"/>
        </w:rPr>
        <w:t>risk-averse L</w:t>
      </w:r>
      <w:r>
        <w:rPr>
          <w:rFonts w:eastAsiaTheme="minorEastAsia"/>
          <w:color w:val="000000" w:themeColor="text1"/>
          <w:sz w:val="22"/>
          <w:szCs w:val="22"/>
          <w:shd w:val="clear" w:color="auto" w:fill="FFFFFF"/>
          <w:vertAlign w:val="subscript"/>
        </w:rPr>
        <w:t>2</w:t>
      </w:r>
      <w:r>
        <w:rPr>
          <w:rFonts w:eastAsiaTheme="minorEastAsia"/>
          <w:color w:val="000000" w:themeColor="text1"/>
          <w:sz w:val="22"/>
          <w:szCs w:val="22"/>
          <w:shd w:val="clear" w:color="auto" w:fill="FFFFFF"/>
        </w:rPr>
        <w:t xml:space="preserve"> to pass it must hold that </w:t>
      </w: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m:oMath>
        <m:r>
          <w:rPr>
            <w:rFonts w:ascii="Cambria Math" w:eastAsiaTheme="minorEastAsia" w:hAnsi="Cambria Math"/>
            <w:color w:val="000000" w:themeColor="text1"/>
            <w:sz w:val="22"/>
            <w:szCs w:val="22"/>
            <w:shd w:val="clear" w:color="auto" w:fill="FFFFFF"/>
          </w:rPr>
          <m:t>≥</m:t>
        </m:r>
      </m:oMath>
      <w:r>
        <w:rPr>
          <w:rFonts w:eastAsiaTheme="minorEastAsia"/>
          <w:color w:val="000000" w:themeColor="text1"/>
          <w:sz w:val="22"/>
          <w:szCs w:val="22"/>
          <w:shd w:val="clear" w:color="auto" w:fill="FFFFFF"/>
        </w:rPr>
        <w:t xml:space="preserve"> 0 even if a rival L</w:t>
      </w:r>
      <w:r>
        <w:rPr>
          <w:rFonts w:eastAsiaTheme="minorEastAsia"/>
          <w:color w:val="000000" w:themeColor="text1"/>
          <w:sz w:val="22"/>
          <w:szCs w:val="22"/>
          <w:shd w:val="clear" w:color="auto" w:fill="FFFFFF"/>
          <w:vertAlign w:val="subscript"/>
        </w:rPr>
        <w:t>1</w:t>
      </w:r>
      <w:r>
        <w:rPr>
          <w:rFonts w:eastAsiaTheme="minorEastAsia"/>
          <w:color w:val="000000" w:themeColor="text1"/>
          <w:sz w:val="22"/>
          <w:szCs w:val="22"/>
          <w:shd w:val="clear" w:color="auto" w:fill="FFFFFF"/>
        </w:rPr>
        <w:t xml:space="preserve"> ‘takes’ in a subsequent node, that is: </w:t>
      </w:r>
      <m:oMath>
        <m: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sidRPr="003674FB">
        <w:rPr>
          <w:rFonts w:eastAsiaTheme="minorEastAsia"/>
          <w:color w:val="000000" w:themeColor="text1"/>
          <w:sz w:val="22"/>
          <w:szCs w:val="22"/>
          <w:shd w:val="clear" w:color="auto" w:fill="FFFFFF"/>
        </w:rPr>
        <w:t xml:space="preserve">+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C2,t</w:t>
      </w:r>
      <w:r w:rsidRPr="003674FB">
        <w:rPr>
          <w:rFonts w:eastAsiaTheme="minorEastAsia"/>
          <w:color w:val="000000" w:themeColor="text1"/>
          <w:sz w:val="22"/>
          <w:szCs w:val="22"/>
        </w:rPr>
        <w:t>)</w:t>
      </w:r>
      <m:oMath>
        <m:r>
          <w:rPr>
            <w:rFonts w:ascii="Cambria Math" w:eastAsiaTheme="minorEastAsia" w:hAnsi="Cambria Math"/>
            <w:color w:val="000000" w:themeColor="text1"/>
            <w:sz w:val="22"/>
            <w:szCs w:val="22"/>
            <w:shd w:val="clear" w:color="auto" w:fill="FFFFFF"/>
          </w:rPr>
          <m:t xml:space="preserve"> ≥ </m:t>
        </m:r>
      </m:oMath>
      <w:r w:rsidRPr="003674FB">
        <w:rPr>
          <w:rFonts w:eastAsiaTheme="minorEastAsia"/>
          <w:color w:val="000000" w:themeColor="text1"/>
          <w:sz w:val="22"/>
          <w:szCs w:val="22"/>
          <w:shd w:val="clear" w:color="auto" w:fill="FFFFFF"/>
        </w:rPr>
        <w:t xml:space="preserve">0 </w:t>
      </w:r>
    </w:p>
    <w:p w14:paraId="0BEEDD28" w14:textId="77777777" w:rsidR="00EE0446" w:rsidRPr="003674FB" w:rsidRDefault="00EE0446" w:rsidP="00EE0446">
      <w:pPr>
        <w:spacing w:line="360" w:lineRule="auto"/>
        <w:rPr>
          <w:rFonts w:eastAsiaTheme="minorEastAsia"/>
          <w:color w:val="000000" w:themeColor="text1"/>
          <w:shd w:val="clear" w:color="auto" w:fill="FFFFFF"/>
        </w:rPr>
      </w:pPr>
    </w:p>
    <w:p w14:paraId="65A6F769" w14:textId="1B5CAAB9" w:rsidR="00EE0446" w:rsidRDefault="00EE0446" w:rsidP="00EE0446">
      <w:pPr>
        <w:spacing w:line="360" w:lineRule="auto"/>
        <w:rPr>
          <w:rFonts w:eastAsiaTheme="minorEastAsia"/>
          <w:shd w:val="clear" w:color="auto" w:fill="FFFFFF"/>
        </w:rPr>
      </w:pPr>
      <w:r w:rsidRPr="003674FB">
        <w:rPr>
          <w:rFonts w:eastAsiaTheme="minorEastAsia"/>
          <w:b/>
          <w:i/>
          <w:shd w:val="clear" w:color="auto" w:fill="FFFFFF"/>
        </w:rPr>
        <w:t>Proof 1</w:t>
      </w:r>
      <w:r w:rsidRPr="003674FB">
        <w:rPr>
          <w:rFonts w:eastAsiaTheme="minorEastAsia"/>
          <w:b/>
          <w:shd w:val="clear" w:color="auto" w:fill="FFFFFF"/>
        </w:rPr>
        <w:t>:</w:t>
      </w:r>
      <w:r>
        <w:rPr>
          <w:rFonts w:eastAsiaTheme="minorEastAsia"/>
          <w:b/>
          <w:shd w:val="clear" w:color="auto" w:fill="FFFFFF"/>
        </w:rPr>
        <w:t xml:space="preserve"> </w:t>
      </w:r>
      <w:r>
        <w:rPr>
          <w:rFonts w:eastAsiaTheme="minorEastAsia"/>
          <w:shd w:val="clear" w:color="auto" w:fill="FFFFFF"/>
        </w:rPr>
        <w:t xml:space="preserve">If 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oMath>
      <w:r>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C2,t</m:t>
                </m:r>
              </m:sub>
            </m:sSub>
            <m:r>
              <w:rPr>
                <w:rFonts w:ascii="Cambria Math" w:eastAsiaTheme="minorEastAsia" w:hAnsi="Cambria Math"/>
                <w:color w:val="000000" w:themeColor="text1"/>
              </w:rPr>
              <m:t>|</m:t>
            </m:r>
          </m:den>
        </m:f>
      </m:oMath>
      <w:r>
        <w:rPr>
          <w:rFonts w:eastAsiaTheme="minorEastAsia"/>
          <w:color w:val="000000" w:themeColor="text1"/>
        </w:rPr>
        <w:t xml:space="preserve"> , then </w:t>
      </w:r>
      <m:oMath>
        <m:r>
          <w:rPr>
            <w:rFonts w:ascii="Cambria Math" w:eastAsiaTheme="minorEastAsia" w:hAnsi="Cambria Math"/>
            <w:color w:val="000000" w:themeColor="text1"/>
          </w:rPr>
          <m:t>∆</m:t>
        </m:r>
      </m:oMath>
      <w:r w:rsidRPr="00E55227">
        <w:rPr>
          <w:color w:val="000000" w:themeColor="text1"/>
        </w:rPr>
        <w:t>X</w:t>
      </w:r>
      <w:r w:rsidRPr="00E55227">
        <w:rPr>
          <w:color w:val="000000" w:themeColor="text1"/>
          <w:vertAlign w:val="subscript"/>
        </w:rPr>
        <w:t xml:space="preserve">L2,t  </w:t>
      </w:r>
      <w:r w:rsidRPr="00E55227">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E55227">
        <w:rPr>
          <w:rFonts w:eastAsiaTheme="minorEastAsia"/>
          <w:color w:val="000000" w:themeColor="text1"/>
        </w:rPr>
        <w:t>D</w:t>
      </w:r>
      <w:r w:rsidRPr="00E55227">
        <w:rPr>
          <w:rFonts w:eastAsiaTheme="minorEastAsia"/>
          <w:color w:val="000000" w:themeColor="text1"/>
          <w:vertAlign w:val="subscript"/>
        </w:rPr>
        <w:t>C2,t</w:t>
      </w:r>
      <w:r w:rsidRPr="00E55227">
        <w:rPr>
          <w:rFonts w:eastAsiaTheme="minorEastAsia"/>
          <w:color w:val="000000" w:themeColor="text1"/>
        </w:rPr>
        <w:t>)</w:t>
      </w:r>
      <m:oMath>
        <m:r>
          <w:rPr>
            <w:rFonts w:ascii="Cambria Math" w:eastAsiaTheme="minorEastAsia" w:hAnsi="Cambria Math"/>
            <w:color w:val="000000" w:themeColor="text1"/>
            <w:shd w:val="clear" w:color="auto" w:fill="FFFFFF"/>
          </w:rPr>
          <m:t xml:space="preserve"> ≥ </m:t>
        </m:r>
      </m:oMath>
      <w:r>
        <w:rPr>
          <w:rFonts w:eastAsiaTheme="minorEastAsia"/>
          <w:color w:val="000000" w:themeColor="text1"/>
          <w:shd w:val="clear" w:color="auto" w:fill="FFFFFF"/>
        </w:rPr>
        <w:t>0 and thus</w:t>
      </w:r>
      <w:r w:rsidRPr="00E55227">
        <w:rPr>
          <w:rFonts w:eastAsiaTheme="minorEastAsia"/>
          <w:shd w:val="clear" w:color="auto" w:fill="FFFFFF"/>
        </w:rPr>
        <w:t>,</w:t>
      </w:r>
      <w:r>
        <w:rPr>
          <w:rFonts w:eastAsiaTheme="minorEastAsia"/>
          <w:shd w:val="clear" w:color="auto" w:fill="FFFFFF"/>
        </w:rPr>
        <w:t xml:space="preserve"> </w:t>
      </w:r>
      <m:oMath>
        <m:r>
          <w:rPr>
            <w:rFonts w:ascii="Cambria Math" w:eastAsiaTheme="minorEastAsia" w:hAnsi="Cambria Math"/>
          </w:rPr>
          <m:t>∆</m:t>
        </m:r>
      </m:oMath>
      <w:r w:rsidRPr="00E55227">
        <w:rPr>
          <w:rFonts w:eastAsiaTheme="minorEastAsia"/>
          <w:shd w:val="clear" w:color="auto" w:fill="FFFFFF"/>
        </w:rPr>
        <w:t>U</w:t>
      </w:r>
      <w:r w:rsidRPr="00E55227">
        <w:rPr>
          <w:rFonts w:eastAsiaTheme="minorEastAsia"/>
          <w:vertAlign w:val="subscript"/>
        </w:rPr>
        <w:t xml:space="preserve">L2,t  </w:t>
      </w:r>
      <m:oMath>
        <m:r>
          <w:rPr>
            <w:rFonts w:ascii="Cambria Math" w:eastAsiaTheme="minorEastAsia" w:hAnsi="Cambria Math"/>
            <w:shd w:val="clear" w:color="auto" w:fill="FFFFFF"/>
          </w:rPr>
          <m:t>≥</m:t>
        </m:r>
      </m:oMath>
      <w:r w:rsidRPr="00E55227">
        <w:rPr>
          <w:rFonts w:eastAsiaTheme="minorEastAsia"/>
          <w:shd w:val="clear" w:color="auto" w:fill="FFFFFF"/>
        </w:rPr>
        <w:t xml:space="preserve"> 0</w:t>
      </w:r>
      <w:r>
        <w:rPr>
          <w:rFonts w:eastAsiaTheme="minorEastAsia"/>
          <w:shd w:val="clear" w:color="auto" w:fill="FFFFFF"/>
        </w:rPr>
        <w:t xml:space="preserve">. A rational </w:t>
      </w:r>
      <w:r w:rsidRPr="00E55227">
        <w:rPr>
          <w:rFonts w:eastAsiaTheme="minorEastAsia"/>
          <w:shd w:val="clear" w:color="auto" w:fill="FFFFFF"/>
        </w:rPr>
        <w:t>L</w:t>
      </w:r>
      <w:r w:rsidRPr="00E55227">
        <w:rPr>
          <w:rFonts w:eastAsiaTheme="minorEastAsia"/>
          <w:shd w:val="clear" w:color="auto" w:fill="FFFFFF"/>
          <w:vertAlign w:val="subscript"/>
        </w:rPr>
        <w:t>2</w:t>
      </w:r>
      <w:r w:rsidRPr="00E55227">
        <w:rPr>
          <w:rFonts w:eastAsiaTheme="minorEastAsia"/>
          <w:shd w:val="clear" w:color="auto" w:fill="FFFFFF"/>
        </w:rPr>
        <w:t>’s best response is to pass</w:t>
      </w:r>
      <w:r>
        <w:rPr>
          <w:rFonts w:eastAsiaTheme="minorEastAsia"/>
          <w:shd w:val="clear" w:color="auto" w:fill="FFFFFF"/>
        </w:rPr>
        <w:t xml:space="preserve">. If, for the typical lawyer, 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sidR="00F71373">
        <w:rPr>
          <w:rFonts w:eastAsiaTheme="minorEastAsia"/>
          <w:color w:val="000000" w:themeColor="text1"/>
        </w:rPr>
        <w:t xml:space="preserve">, </w:t>
      </w:r>
      <w:r>
        <w:rPr>
          <w:rFonts w:eastAsiaTheme="minorEastAsia"/>
          <w:color w:val="000000" w:themeColor="text1"/>
        </w:rPr>
        <w:t xml:space="preserve">then </w:t>
      </w:r>
      <m:oMath>
        <m:r>
          <w:rPr>
            <w:rFonts w:ascii="Cambria Math" w:eastAsiaTheme="minorEastAsia" w:hAnsi="Cambria Math"/>
            <w:color w:val="000000" w:themeColor="text1"/>
          </w:rPr>
          <m:t>∆</m:t>
        </m:r>
      </m:oMath>
      <w:r w:rsidRPr="00E55227">
        <w:rPr>
          <w:color w:val="000000" w:themeColor="text1"/>
        </w:rPr>
        <w:t>X</w:t>
      </w:r>
      <w:r>
        <w:rPr>
          <w:color w:val="000000" w:themeColor="text1"/>
          <w:vertAlign w:val="subscript"/>
        </w:rPr>
        <w:t>L2,8</w:t>
      </w:r>
      <w:r w:rsidRPr="00E55227">
        <w:rPr>
          <w:color w:val="000000" w:themeColor="text1"/>
          <w:vertAlign w:val="subscript"/>
        </w:rPr>
        <w:t xml:space="preserve"> </w:t>
      </w:r>
      <w:r w:rsidRPr="00E55227">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E55227">
        <w:rPr>
          <w:rFonts w:eastAsiaTheme="minorEastAsia"/>
          <w:color w:val="000000" w:themeColor="text1"/>
        </w:rPr>
        <w:t>D</w:t>
      </w:r>
      <w:r>
        <w:rPr>
          <w:rFonts w:eastAsiaTheme="minorEastAsia"/>
          <w:color w:val="000000" w:themeColor="text1"/>
          <w:vertAlign w:val="subscript"/>
        </w:rPr>
        <w:t>C2,8</w:t>
      </w:r>
      <w:r w:rsidRPr="00E55227">
        <w:rPr>
          <w:rFonts w:eastAsiaTheme="minorEastAsia"/>
          <w:color w:val="000000" w:themeColor="text1"/>
        </w:rPr>
        <w:t>)</w:t>
      </w:r>
      <m:oMath>
        <m:r>
          <w:rPr>
            <w:rFonts w:ascii="Cambria Math" w:eastAsiaTheme="minorEastAsia" w:hAnsi="Cambria Math"/>
            <w:color w:val="000000" w:themeColor="text1"/>
            <w:shd w:val="clear" w:color="auto" w:fill="FFFFFF"/>
          </w:rPr>
          <m:t xml:space="preserve"> ≥ </m:t>
        </m:r>
      </m:oMath>
      <w:r>
        <w:rPr>
          <w:rFonts w:eastAsiaTheme="minorEastAsia"/>
          <w:color w:val="000000" w:themeColor="text1"/>
          <w:shd w:val="clear" w:color="auto" w:fill="FFFFFF"/>
        </w:rPr>
        <w:t xml:space="preserve">0 at all nodes and thus </w:t>
      </w:r>
      <m:oMath>
        <m:r>
          <w:rPr>
            <w:rFonts w:ascii="Cambria Math" w:eastAsiaTheme="minorEastAsia" w:hAnsi="Cambria Math"/>
          </w:rPr>
          <m:t>∆</m:t>
        </m:r>
      </m:oMath>
      <w:r w:rsidRPr="00E55227">
        <w:rPr>
          <w:rFonts w:eastAsiaTheme="minorEastAsia"/>
          <w:shd w:val="clear" w:color="auto" w:fill="FFFFFF"/>
        </w:rPr>
        <w:t>U</w:t>
      </w:r>
      <w:r>
        <w:rPr>
          <w:rFonts w:eastAsiaTheme="minorEastAsia"/>
          <w:vertAlign w:val="subscript"/>
        </w:rPr>
        <w:t xml:space="preserve">L2,8 </w:t>
      </w:r>
      <m:oMath>
        <m:r>
          <w:rPr>
            <w:rFonts w:ascii="Cambria Math" w:eastAsiaTheme="minorEastAsia" w:hAnsi="Cambria Math"/>
            <w:shd w:val="clear" w:color="auto" w:fill="FFFFFF"/>
          </w:rPr>
          <m:t>≥</m:t>
        </m:r>
      </m:oMath>
      <w:r w:rsidRPr="00E55227">
        <w:rPr>
          <w:rFonts w:eastAsiaTheme="minorEastAsia"/>
          <w:shd w:val="clear" w:color="auto" w:fill="FFFFFF"/>
        </w:rPr>
        <w:t xml:space="preserve"> 0</w:t>
      </w:r>
      <w:r>
        <w:rPr>
          <w:rFonts w:eastAsiaTheme="minorEastAsia"/>
          <w:shd w:val="clear" w:color="auto" w:fill="FFFFFF"/>
        </w:rPr>
        <w:t xml:space="preserve">. A rational </w:t>
      </w:r>
      <w:r w:rsidRPr="00E55227">
        <w:rPr>
          <w:rFonts w:eastAsiaTheme="minorEastAsia"/>
          <w:shd w:val="clear" w:color="auto" w:fill="FFFFFF"/>
        </w:rPr>
        <w:t>L</w:t>
      </w:r>
      <w:r w:rsidRPr="00E55227">
        <w:rPr>
          <w:rFonts w:eastAsiaTheme="minorEastAsia"/>
          <w:shd w:val="clear" w:color="auto" w:fill="FFFFFF"/>
          <w:vertAlign w:val="subscript"/>
        </w:rPr>
        <w:t>2</w:t>
      </w:r>
      <w:r w:rsidRPr="00E55227">
        <w:rPr>
          <w:rFonts w:eastAsiaTheme="minorEastAsia"/>
          <w:shd w:val="clear" w:color="auto" w:fill="FFFFFF"/>
        </w:rPr>
        <w:t xml:space="preserve">’s best response is to </w:t>
      </w:r>
      <w:r>
        <w:rPr>
          <w:rFonts w:eastAsiaTheme="minorEastAsia"/>
          <w:shd w:val="clear" w:color="auto" w:fill="FFFFFF"/>
        </w:rPr>
        <w:t xml:space="preserve">always pass. </w:t>
      </w:r>
    </w:p>
    <w:p w14:paraId="516E539B" w14:textId="77777777" w:rsidR="00EE0446" w:rsidRDefault="00EE0446" w:rsidP="00EE0446">
      <w:pPr>
        <w:spacing w:line="360" w:lineRule="auto"/>
        <w:rPr>
          <w:rFonts w:eastAsiaTheme="minorEastAsia"/>
          <w:shd w:val="clear" w:color="auto" w:fill="FFFFFF"/>
        </w:rPr>
      </w:pPr>
    </w:p>
    <w:p w14:paraId="108A40B2" w14:textId="77178F0D" w:rsidR="00EE0446" w:rsidRPr="00955C2B" w:rsidRDefault="00EE0446" w:rsidP="00EE0446">
      <w:pPr>
        <w:spacing w:line="360" w:lineRule="auto"/>
        <w:ind w:left="360"/>
        <w:outlineLvl w:val="0"/>
        <w:rPr>
          <w:b/>
          <w:u w:val="single"/>
        </w:rPr>
      </w:pPr>
      <w:r w:rsidRPr="00215E9C">
        <w:rPr>
          <w:b/>
          <w:noProof/>
        </w:rPr>
        <w:drawing>
          <wp:anchor distT="0" distB="0" distL="114300" distR="114300" simplePos="0" relativeHeight="251665408" behindDoc="0" locked="0" layoutInCell="1" allowOverlap="1" wp14:anchorId="7F402C47" wp14:editId="5BEF9474">
            <wp:simplePos x="0" y="0"/>
            <wp:positionH relativeFrom="column">
              <wp:posOffset>-614045</wp:posOffset>
            </wp:positionH>
            <wp:positionV relativeFrom="paragraph">
              <wp:posOffset>348615</wp:posOffset>
            </wp:positionV>
            <wp:extent cx="6837045" cy="257048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837045" cy="2570480"/>
                    </a:xfrm>
                    <a:prstGeom prst="rect">
                      <a:avLst/>
                    </a:prstGeom>
                  </pic:spPr>
                </pic:pic>
              </a:graphicData>
            </a:graphic>
            <wp14:sizeRelH relativeFrom="page">
              <wp14:pctWidth>0</wp14:pctWidth>
            </wp14:sizeRelH>
            <wp14:sizeRelV relativeFrom="page">
              <wp14:pctHeight>0</wp14:pctHeight>
            </wp14:sizeRelV>
          </wp:anchor>
        </w:drawing>
      </w:r>
      <w:r>
        <w:rPr>
          <w:b/>
          <w:u w:val="single"/>
        </w:rPr>
        <w:t>Figure 5</w:t>
      </w:r>
      <w:r w:rsidRPr="00955C2B">
        <w:rPr>
          <w:b/>
          <w:u w:val="single"/>
        </w:rPr>
        <w:t xml:space="preserve">: </w:t>
      </w:r>
      <w:r w:rsidR="00B8729E">
        <w:rPr>
          <w:b/>
          <w:u w:val="single"/>
        </w:rPr>
        <w:t>IDBG</w:t>
      </w:r>
      <w:r w:rsidRPr="00955C2B">
        <w:rPr>
          <w:b/>
          <w:u w:val="single"/>
        </w:rPr>
        <w:t xml:space="preserve"> – Hourly-Fees  </w:t>
      </w:r>
    </w:p>
    <w:p w14:paraId="22E0A8E9" w14:textId="77777777" w:rsidR="00EE0446" w:rsidRDefault="00EE0446" w:rsidP="00EE0446">
      <w:pPr>
        <w:spacing w:line="360" w:lineRule="auto"/>
        <w:rPr>
          <w:rFonts w:eastAsiaTheme="minorEastAsia"/>
          <w:b/>
          <w:shd w:val="clear" w:color="auto" w:fill="FFFFFF"/>
        </w:rPr>
      </w:pPr>
    </w:p>
    <w:p w14:paraId="47F2C737" w14:textId="1BFB00C0" w:rsidR="001D76D8" w:rsidRDefault="00EE0446" w:rsidP="00EE0446">
      <w:pPr>
        <w:spacing w:line="360" w:lineRule="auto"/>
        <w:rPr>
          <w:rFonts w:eastAsiaTheme="minorEastAsia"/>
          <w:color w:val="000000" w:themeColor="text1"/>
        </w:rPr>
      </w:pPr>
      <w:r>
        <w:rPr>
          <w:rFonts w:eastAsiaTheme="minorEastAsia"/>
          <w:b/>
          <w:shd w:val="clear" w:color="auto" w:fill="FFFFFF"/>
        </w:rPr>
        <w:t xml:space="preserve">Figure 5 </w:t>
      </w:r>
      <w:r>
        <w:rPr>
          <w:rFonts w:eastAsiaTheme="minorEastAsia"/>
          <w:shd w:val="clear" w:color="auto" w:fill="FFFFFF"/>
        </w:rPr>
        <w:t xml:space="preserve">(copied above) is a game-structure that complies with the parameter restrictions outlined here. </w:t>
      </w:r>
      <w:r>
        <w:rPr>
          <w:rFonts w:eastAsiaTheme="minorEastAsia"/>
          <w:b/>
          <w:shd w:val="clear" w:color="auto" w:fill="FFFFFF"/>
        </w:rPr>
        <w:t>Table 3</w:t>
      </w:r>
      <w:r>
        <w:rPr>
          <w:rFonts w:eastAsiaTheme="minorEastAsia"/>
          <w:shd w:val="clear" w:color="auto" w:fill="FFFFFF"/>
        </w:rPr>
        <w:t xml:space="preserve"> illustrates the lawyers’ respective upper bound epsilons, rounded up to three significant figures. That is, </w:t>
      </w:r>
      <w:r>
        <w:rPr>
          <w:rFonts w:eastAsiaTheme="minorEastAsia"/>
          <w:b/>
          <w:shd w:val="clear" w:color="auto" w:fill="FFFFFF"/>
        </w:rPr>
        <w:t>Table 3</w:t>
      </w:r>
      <w:r>
        <w:rPr>
          <w:rFonts w:eastAsiaTheme="minorEastAsia"/>
          <w:shd w:val="clear" w:color="auto" w:fill="FFFFFF"/>
        </w:rPr>
        <w:t xml:space="preserve"> illustrates the upper bound epsilon for which passing, at decision node (t-1), will ensure </w:t>
      </w:r>
      <m:oMath>
        <m:r>
          <w:rPr>
            <w:rFonts w:ascii="Cambria Math" w:eastAsiaTheme="minorEastAsia" w:hAnsi="Cambria Math"/>
            <w:color w:val="000000" w:themeColor="text1"/>
          </w:rPr>
          <m:t>∆</m:t>
        </m:r>
      </m:oMath>
      <w:r w:rsidRPr="00D54924">
        <w:rPr>
          <w:rFonts w:eastAsiaTheme="minorEastAsia"/>
          <w:color w:val="000000" w:themeColor="text1"/>
          <w:shd w:val="clear" w:color="auto" w:fill="FFFFFF"/>
        </w:rPr>
        <w:t>U</w:t>
      </w:r>
      <w:r>
        <w:rPr>
          <w:rFonts w:eastAsiaTheme="minorEastAsia"/>
          <w:color w:val="000000" w:themeColor="text1"/>
          <w:vertAlign w:val="subscript"/>
        </w:rPr>
        <w:t>L1</w:t>
      </w:r>
      <w:r w:rsidRPr="00D54924">
        <w:rPr>
          <w:rFonts w:eastAsiaTheme="minorEastAsia"/>
          <w:color w:val="000000" w:themeColor="text1"/>
          <w:vertAlign w:val="subscript"/>
        </w:rPr>
        <w:t xml:space="preserve">,t </w:t>
      </w:r>
      <m:oMath>
        <m:r>
          <w:rPr>
            <w:rFonts w:ascii="Cambria Math" w:eastAsiaTheme="minorEastAsia" w:hAnsi="Cambria Math"/>
            <w:color w:val="000000" w:themeColor="text1"/>
            <w:shd w:val="clear" w:color="auto" w:fill="FFFFFF"/>
          </w:rPr>
          <m:t>≥</m:t>
        </m:r>
      </m:oMath>
      <w:r w:rsidRPr="00D54924">
        <w:rPr>
          <w:rFonts w:eastAsiaTheme="minorEastAsia"/>
          <w:color w:val="000000" w:themeColor="text1"/>
          <w:shd w:val="clear" w:color="auto" w:fill="FFFFFF"/>
        </w:rPr>
        <w:t xml:space="preserve"> 0</w:t>
      </w:r>
      <w:r>
        <w:rPr>
          <w:rFonts w:eastAsiaTheme="minorEastAsia"/>
          <w:color w:val="000000" w:themeColor="text1"/>
          <w:shd w:val="clear" w:color="auto" w:fill="FFFFFF"/>
        </w:rPr>
        <w:t xml:space="preserve"> at node t, even if a rival chooses to take. For example, for L</w:t>
      </w:r>
      <w:r>
        <w:rPr>
          <w:rFonts w:eastAsiaTheme="minorEastAsia"/>
          <w:color w:val="000000" w:themeColor="text1"/>
          <w:shd w:val="clear" w:color="auto" w:fill="FFFFFF"/>
          <w:vertAlign w:val="subscript"/>
        </w:rPr>
        <w:t>2</w:t>
      </w:r>
      <w:r>
        <w:rPr>
          <w:rFonts w:eastAsiaTheme="minorEastAsia"/>
          <w:color w:val="000000" w:themeColor="text1"/>
          <w:shd w:val="clear" w:color="auto" w:fill="FFFFFF"/>
        </w:rPr>
        <w:t xml:space="preserve"> to pass at t=1, </w:t>
      </w:r>
      <w:r w:rsidRPr="00662FDE">
        <w:rPr>
          <w:rFonts w:eastAsiaTheme="minorEastAsia"/>
          <w:color w:val="000000" w:themeColor="text1"/>
          <w:shd w:val="clear" w:color="auto" w:fill="FFFFFF"/>
        </w:rPr>
        <w:t xml:space="preserve">0 </w:t>
      </w:r>
      <m:oMath>
        <m:r>
          <w:rPr>
            <w:rFonts w:ascii="Cambria Math" w:eastAsiaTheme="minorEastAsia" w:hAnsi="Cambria Math"/>
            <w:color w:val="000000" w:themeColor="text1"/>
            <w:shd w:val="clear" w:color="auto" w:fill="FFFFFF"/>
          </w:rPr>
          <m:t>≤</m:t>
        </m:r>
      </m:oMath>
      <w:r w:rsidRPr="00662FDE">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662FDE">
        <w:rPr>
          <w:rFonts w:eastAsiaTheme="minorEastAsia"/>
          <w:color w:val="000000" w:themeColor="text1"/>
        </w:rPr>
        <w:t xml:space="preserve"> </w:t>
      </w:r>
      <m:oMath>
        <m:r>
          <w:rPr>
            <w:rFonts w:ascii="Cambria Math" w:eastAsiaTheme="minorEastAsia" w:hAnsi="Cambria Math"/>
            <w:color w:val="000000" w:themeColor="text1"/>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L2,2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C2,2</m:t>
                </m:r>
              </m:sub>
            </m:sSub>
            <m:r>
              <w:rPr>
                <w:rFonts w:ascii="Cambria Math" w:eastAsiaTheme="minorEastAsia" w:hAnsi="Cambria Math"/>
                <w:color w:val="000000" w:themeColor="text1"/>
              </w:rPr>
              <m:t>|</m:t>
            </m:r>
          </m:den>
        </m:f>
      </m:oMath>
      <w:r>
        <w:rPr>
          <w:rFonts w:eastAsiaTheme="minorEastAsia"/>
          <w:color w:val="000000" w:themeColor="text1"/>
        </w:rPr>
        <w:t xml:space="preserve">, where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L2,2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C2,2</m:t>
                </m:r>
              </m:sub>
            </m:sSub>
            <m:r>
              <w:rPr>
                <w:rFonts w:ascii="Cambria Math" w:eastAsiaTheme="minorEastAsia" w:hAnsi="Cambria Math"/>
                <w:color w:val="000000" w:themeColor="text1"/>
              </w:rPr>
              <m:t>|</m:t>
            </m:r>
          </m:den>
        </m:f>
      </m:oMath>
      <w:r>
        <w:rPr>
          <w:rFonts w:eastAsiaTheme="minorEastAsia"/>
          <w:color w:val="000000" w:themeColor="text1"/>
        </w:rPr>
        <w:t xml:space="preserve"> = 0.635. </w:t>
      </w:r>
    </w:p>
    <w:p w14:paraId="14317486" w14:textId="77777777" w:rsidR="00F71373" w:rsidRDefault="00F71373" w:rsidP="00EE0446">
      <w:pPr>
        <w:spacing w:line="360" w:lineRule="auto"/>
        <w:rPr>
          <w:rFonts w:eastAsiaTheme="minorEastAsia"/>
          <w:color w:val="000000" w:themeColor="text1"/>
        </w:rPr>
      </w:pPr>
    </w:p>
    <w:p w14:paraId="31392407" w14:textId="77777777" w:rsidR="00EE0446" w:rsidRPr="00D123E7" w:rsidRDefault="00EE0446" w:rsidP="00EE0446">
      <w:pPr>
        <w:spacing w:line="360" w:lineRule="auto"/>
        <w:outlineLvl w:val="0"/>
        <w:rPr>
          <w:rFonts w:eastAsiaTheme="minorEastAsia"/>
          <w:b/>
          <w:u w:val="single"/>
          <w:shd w:val="clear" w:color="auto" w:fill="FFFFFF"/>
        </w:rPr>
      </w:pPr>
      <w:r>
        <w:rPr>
          <w:rFonts w:eastAsiaTheme="minorEastAsia"/>
          <w:b/>
          <w:u w:val="single"/>
          <w:shd w:val="clear" w:color="auto" w:fill="FFFFFF"/>
        </w:rPr>
        <w:t>Table 3: Upper Bound Epsilons</w:t>
      </w:r>
    </w:p>
    <w:tbl>
      <w:tblPr>
        <w:tblpPr w:leftFromText="180" w:rightFromText="180" w:vertAnchor="text" w:horzAnchor="page" w:tblpX="1270" w:tblpY="237"/>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47"/>
        <w:gridCol w:w="2610"/>
      </w:tblGrid>
      <w:tr w:rsidR="00EE0446" w:rsidRPr="009F3689" w14:paraId="301F3A63" w14:textId="77777777" w:rsidTr="0086456F">
        <w:trPr>
          <w:trHeight w:val="411"/>
        </w:trPr>
        <w:tc>
          <w:tcPr>
            <w:tcW w:w="4857" w:type="dxa"/>
            <w:gridSpan w:val="2"/>
          </w:tcPr>
          <w:p w14:paraId="7827F642" w14:textId="77777777" w:rsidR="00EE0446" w:rsidRPr="000A1FE7" w:rsidRDefault="00EE0446" w:rsidP="0086456F">
            <w:pPr>
              <w:spacing w:line="360" w:lineRule="auto"/>
              <w:jc w:val="center"/>
              <w:rPr>
                <w:rFonts w:eastAsiaTheme="minorEastAsia"/>
                <w:b/>
                <w:shd w:val="clear" w:color="auto" w:fill="FFFFFF"/>
                <w:vertAlign w:val="subscript"/>
              </w:rPr>
            </w:pPr>
            <w:r>
              <w:rPr>
                <w:rFonts w:eastAsiaTheme="minorEastAsia"/>
                <w:b/>
                <w:shd w:val="clear" w:color="auto" w:fill="FFFFFF"/>
              </w:rPr>
              <w:t>L</w:t>
            </w:r>
            <w:r>
              <w:rPr>
                <w:rFonts w:eastAsiaTheme="minorEastAsia"/>
                <w:b/>
                <w:shd w:val="clear" w:color="auto" w:fill="FFFFFF"/>
                <w:vertAlign w:val="subscript"/>
              </w:rPr>
              <w:t>1</w:t>
            </w:r>
          </w:p>
        </w:tc>
      </w:tr>
      <w:tr w:rsidR="00EE0446" w:rsidRPr="009F3689" w14:paraId="7DAD4B4C" w14:textId="77777777" w:rsidTr="0086456F">
        <w:trPr>
          <w:trHeight w:val="393"/>
        </w:trPr>
        <w:tc>
          <w:tcPr>
            <w:tcW w:w="2247" w:type="dxa"/>
          </w:tcPr>
          <w:p w14:paraId="390FBDE9" w14:textId="77777777" w:rsidR="00EE0446" w:rsidRPr="009F3689" w:rsidRDefault="00EE0446" w:rsidP="0086456F">
            <w:pPr>
              <w:spacing w:line="360" w:lineRule="auto"/>
              <w:jc w:val="center"/>
              <w:rPr>
                <w:rFonts w:eastAsiaTheme="minorEastAsia"/>
                <w:b/>
                <w:shd w:val="clear" w:color="auto" w:fill="FFFFFF"/>
              </w:rPr>
            </w:pPr>
            <w:r>
              <w:rPr>
                <w:rFonts w:eastAsiaTheme="minorEastAsia"/>
                <w:b/>
                <w:shd w:val="clear" w:color="auto" w:fill="FFFFFF"/>
              </w:rPr>
              <w:t xml:space="preserve">Decision </w:t>
            </w:r>
            <w:r w:rsidRPr="009F3689">
              <w:rPr>
                <w:rFonts w:eastAsiaTheme="minorEastAsia"/>
                <w:b/>
                <w:shd w:val="clear" w:color="auto" w:fill="FFFFFF"/>
              </w:rPr>
              <w:t>Node</w:t>
            </w:r>
            <w:r>
              <w:rPr>
                <w:rFonts w:eastAsiaTheme="minorEastAsia"/>
                <w:b/>
                <w:shd w:val="clear" w:color="auto" w:fill="FFFFFF"/>
              </w:rPr>
              <w:t xml:space="preserve"> (t-1)</w:t>
            </w:r>
          </w:p>
        </w:tc>
        <w:tc>
          <w:tcPr>
            <w:tcW w:w="2610" w:type="dxa"/>
          </w:tcPr>
          <w:p w14:paraId="2BF5543C" w14:textId="77777777" w:rsidR="00EE0446" w:rsidRPr="009F3689" w:rsidRDefault="00EE0446" w:rsidP="0086456F">
            <w:pPr>
              <w:spacing w:line="360" w:lineRule="auto"/>
              <w:jc w:val="center"/>
              <w:rPr>
                <w:rFonts w:eastAsiaTheme="minorEastAsia"/>
                <w:b/>
                <w:shd w:val="clear" w:color="auto" w:fill="FFFFFF"/>
              </w:rPr>
            </w:pPr>
            <w:r w:rsidRPr="009F3689">
              <w:rPr>
                <w:rFonts w:eastAsiaTheme="minorEastAsia"/>
                <w:b/>
                <w:shd w:val="clear" w:color="auto" w:fill="FFFFFF"/>
              </w:rPr>
              <w:t>Upper Bound Epsilon</w:t>
            </w:r>
            <w:r>
              <w:rPr>
                <w:rStyle w:val="FootnoteReference"/>
                <w:rFonts w:eastAsiaTheme="minorEastAsia"/>
                <w:shd w:val="clear" w:color="auto" w:fill="FFFFFF"/>
              </w:rPr>
              <w:footnoteReference w:id="40"/>
            </w:r>
          </w:p>
        </w:tc>
      </w:tr>
      <w:tr w:rsidR="00EE0446" w14:paraId="168411A9" w14:textId="77777777" w:rsidTr="0086456F">
        <w:trPr>
          <w:trHeight w:val="411"/>
        </w:trPr>
        <w:tc>
          <w:tcPr>
            <w:tcW w:w="2247" w:type="dxa"/>
          </w:tcPr>
          <w:p w14:paraId="7C2EAA14"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t=0</w:t>
            </w:r>
          </w:p>
        </w:tc>
        <w:tc>
          <w:tcPr>
            <w:tcW w:w="2610" w:type="dxa"/>
          </w:tcPr>
          <w:p w14:paraId="253FAAB1"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1.43</w:t>
            </w:r>
          </w:p>
        </w:tc>
      </w:tr>
      <w:tr w:rsidR="00EE0446" w14:paraId="7F8519B1" w14:textId="77777777" w:rsidTr="0086456F">
        <w:trPr>
          <w:trHeight w:val="411"/>
        </w:trPr>
        <w:tc>
          <w:tcPr>
            <w:tcW w:w="2247" w:type="dxa"/>
          </w:tcPr>
          <w:p w14:paraId="63A62D33"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t=2</w:t>
            </w:r>
          </w:p>
        </w:tc>
        <w:tc>
          <w:tcPr>
            <w:tcW w:w="2610" w:type="dxa"/>
          </w:tcPr>
          <w:p w14:paraId="7920EF31"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1.14</w:t>
            </w:r>
          </w:p>
        </w:tc>
      </w:tr>
      <w:tr w:rsidR="00EE0446" w14:paraId="61595BA6" w14:textId="77777777" w:rsidTr="0086456F">
        <w:trPr>
          <w:trHeight w:val="393"/>
        </w:trPr>
        <w:tc>
          <w:tcPr>
            <w:tcW w:w="2247" w:type="dxa"/>
          </w:tcPr>
          <w:p w14:paraId="303794E9"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t=4</w:t>
            </w:r>
          </w:p>
        </w:tc>
        <w:tc>
          <w:tcPr>
            <w:tcW w:w="2610" w:type="dxa"/>
          </w:tcPr>
          <w:p w14:paraId="5F5880FD"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8.00</w:t>
            </w:r>
          </w:p>
        </w:tc>
      </w:tr>
      <w:tr w:rsidR="00EE0446" w14:paraId="6D317F08" w14:textId="77777777" w:rsidTr="0086456F">
        <w:trPr>
          <w:trHeight w:val="411"/>
        </w:trPr>
        <w:tc>
          <w:tcPr>
            <w:tcW w:w="2247" w:type="dxa"/>
          </w:tcPr>
          <w:p w14:paraId="3C1DE52B"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t=6</w:t>
            </w:r>
          </w:p>
        </w:tc>
        <w:tc>
          <w:tcPr>
            <w:tcW w:w="2610" w:type="dxa"/>
          </w:tcPr>
          <w:p w14:paraId="61ED71BE"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0.238</w:t>
            </w:r>
          </w:p>
        </w:tc>
      </w:tr>
    </w:tbl>
    <w:tbl>
      <w:tblPr>
        <w:tblpPr w:leftFromText="180" w:rightFromText="180" w:vertAnchor="text" w:horzAnchor="page" w:tblpX="6850" w:tblpY="237"/>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197"/>
        <w:gridCol w:w="2557"/>
      </w:tblGrid>
      <w:tr w:rsidR="00EE0446" w:rsidRPr="009F3689" w14:paraId="0EAE0D10" w14:textId="77777777" w:rsidTr="0086456F">
        <w:trPr>
          <w:trHeight w:val="377"/>
        </w:trPr>
        <w:tc>
          <w:tcPr>
            <w:tcW w:w="4754" w:type="dxa"/>
            <w:gridSpan w:val="2"/>
          </w:tcPr>
          <w:p w14:paraId="1EE33D29" w14:textId="77777777" w:rsidR="00EE0446" w:rsidRPr="000A1FE7" w:rsidRDefault="00EE0446" w:rsidP="0086456F">
            <w:pPr>
              <w:spacing w:line="360" w:lineRule="auto"/>
              <w:jc w:val="center"/>
              <w:rPr>
                <w:rFonts w:eastAsiaTheme="minorEastAsia"/>
                <w:b/>
                <w:shd w:val="clear" w:color="auto" w:fill="FFFFFF"/>
                <w:vertAlign w:val="subscript"/>
              </w:rPr>
            </w:pPr>
            <w:r>
              <w:rPr>
                <w:rFonts w:eastAsiaTheme="minorEastAsia"/>
                <w:b/>
                <w:shd w:val="clear" w:color="auto" w:fill="FFFFFF"/>
              </w:rPr>
              <w:t>L</w:t>
            </w:r>
            <w:r>
              <w:rPr>
                <w:rFonts w:eastAsiaTheme="minorEastAsia"/>
                <w:b/>
                <w:shd w:val="clear" w:color="auto" w:fill="FFFFFF"/>
                <w:vertAlign w:val="subscript"/>
              </w:rPr>
              <w:t>2</w:t>
            </w:r>
          </w:p>
        </w:tc>
      </w:tr>
      <w:tr w:rsidR="00EE0446" w:rsidRPr="009F3689" w14:paraId="28735A17" w14:textId="77777777" w:rsidTr="0086456F">
        <w:trPr>
          <w:trHeight w:val="361"/>
        </w:trPr>
        <w:tc>
          <w:tcPr>
            <w:tcW w:w="2197" w:type="dxa"/>
          </w:tcPr>
          <w:p w14:paraId="4637D702" w14:textId="77777777" w:rsidR="00EE0446" w:rsidRPr="009F3689" w:rsidRDefault="00EE0446" w:rsidP="0086456F">
            <w:pPr>
              <w:spacing w:line="360" w:lineRule="auto"/>
              <w:jc w:val="center"/>
              <w:rPr>
                <w:rFonts w:eastAsiaTheme="minorEastAsia"/>
                <w:b/>
                <w:shd w:val="clear" w:color="auto" w:fill="FFFFFF"/>
              </w:rPr>
            </w:pPr>
            <w:r>
              <w:rPr>
                <w:rFonts w:eastAsiaTheme="minorEastAsia"/>
                <w:b/>
                <w:shd w:val="clear" w:color="auto" w:fill="FFFFFF"/>
              </w:rPr>
              <w:t xml:space="preserve">Decision </w:t>
            </w:r>
            <w:r w:rsidRPr="009F3689">
              <w:rPr>
                <w:rFonts w:eastAsiaTheme="minorEastAsia"/>
                <w:b/>
                <w:shd w:val="clear" w:color="auto" w:fill="FFFFFF"/>
              </w:rPr>
              <w:t>Node</w:t>
            </w:r>
            <w:r>
              <w:rPr>
                <w:rFonts w:eastAsiaTheme="minorEastAsia"/>
                <w:b/>
                <w:shd w:val="clear" w:color="auto" w:fill="FFFFFF"/>
              </w:rPr>
              <w:t xml:space="preserve"> (t-1)</w:t>
            </w:r>
          </w:p>
        </w:tc>
        <w:tc>
          <w:tcPr>
            <w:tcW w:w="2557" w:type="dxa"/>
          </w:tcPr>
          <w:p w14:paraId="67404A68" w14:textId="77777777" w:rsidR="00EE0446" w:rsidRPr="009F3689" w:rsidRDefault="00EE0446" w:rsidP="0086456F">
            <w:pPr>
              <w:spacing w:line="360" w:lineRule="auto"/>
              <w:jc w:val="center"/>
              <w:rPr>
                <w:rFonts w:eastAsiaTheme="minorEastAsia"/>
                <w:b/>
                <w:shd w:val="clear" w:color="auto" w:fill="FFFFFF"/>
              </w:rPr>
            </w:pPr>
            <w:r w:rsidRPr="009F3689">
              <w:rPr>
                <w:rFonts w:eastAsiaTheme="minorEastAsia"/>
                <w:b/>
                <w:shd w:val="clear" w:color="auto" w:fill="FFFFFF"/>
              </w:rPr>
              <w:t>Upper Bound Epsilon</w:t>
            </w:r>
          </w:p>
        </w:tc>
      </w:tr>
      <w:tr w:rsidR="00EE0446" w14:paraId="66EE72C4" w14:textId="77777777" w:rsidTr="0086456F">
        <w:trPr>
          <w:trHeight w:val="263"/>
        </w:trPr>
        <w:tc>
          <w:tcPr>
            <w:tcW w:w="2197" w:type="dxa"/>
          </w:tcPr>
          <w:p w14:paraId="6C53E3D1"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t=1</w:t>
            </w:r>
          </w:p>
        </w:tc>
        <w:tc>
          <w:tcPr>
            <w:tcW w:w="2557" w:type="dxa"/>
          </w:tcPr>
          <w:p w14:paraId="6957C35B"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0.635</w:t>
            </w:r>
          </w:p>
        </w:tc>
      </w:tr>
      <w:tr w:rsidR="00EE0446" w14:paraId="47C3A2A2" w14:textId="77777777" w:rsidTr="0086456F">
        <w:trPr>
          <w:trHeight w:val="377"/>
        </w:trPr>
        <w:tc>
          <w:tcPr>
            <w:tcW w:w="2197" w:type="dxa"/>
          </w:tcPr>
          <w:p w14:paraId="64B5BAF1"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t=3</w:t>
            </w:r>
          </w:p>
        </w:tc>
        <w:tc>
          <w:tcPr>
            <w:tcW w:w="2557" w:type="dxa"/>
          </w:tcPr>
          <w:p w14:paraId="2AD1A56A"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2.67</w:t>
            </w:r>
          </w:p>
        </w:tc>
      </w:tr>
      <w:tr w:rsidR="00EE0446" w14:paraId="51275958" w14:textId="77777777" w:rsidTr="0086456F">
        <w:trPr>
          <w:trHeight w:val="361"/>
        </w:trPr>
        <w:tc>
          <w:tcPr>
            <w:tcW w:w="2197" w:type="dxa"/>
          </w:tcPr>
          <w:p w14:paraId="3742F380"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t=5</w:t>
            </w:r>
          </w:p>
        </w:tc>
        <w:tc>
          <w:tcPr>
            <w:tcW w:w="2557" w:type="dxa"/>
          </w:tcPr>
          <w:p w14:paraId="1E843664"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0.690</w:t>
            </w:r>
          </w:p>
        </w:tc>
      </w:tr>
      <w:tr w:rsidR="00EE0446" w14:paraId="656CEFEC" w14:textId="77777777" w:rsidTr="0086456F">
        <w:trPr>
          <w:trHeight w:val="388"/>
        </w:trPr>
        <w:tc>
          <w:tcPr>
            <w:tcW w:w="2197" w:type="dxa"/>
          </w:tcPr>
          <w:p w14:paraId="6D9B5597"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t=7</w:t>
            </w:r>
          </w:p>
        </w:tc>
        <w:tc>
          <w:tcPr>
            <w:tcW w:w="2557" w:type="dxa"/>
          </w:tcPr>
          <w:p w14:paraId="7B2F6CC6" w14:textId="77777777" w:rsidR="00EE0446" w:rsidRDefault="00EE0446" w:rsidP="0086456F">
            <w:pPr>
              <w:spacing w:line="360" w:lineRule="auto"/>
              <w:rPr>
                <w:rFonts w:eastAsiaTheme="minorEastAsia"/>
                <w:shd w:val="clear" w:color="auto" w:fill="FFFFFF"/>
              </w:rPr>
            </w:pPr>
            <w:r>
              <w:rPr>
                <w:rFonts w:eastAsiaTheme="minorEastAsia"/>
                <w:shd w:val="clear" w:color="auto" w:fill="FFFFFF"/>
              </w:rPr>
              <w:t>0.154</w:t>
            </w:r>
          </w:p>
        </w:tc>
      </w:tr>
    </w:tbl>
    <w:p w14:paraId="19D32FD5" w14:textId="77777777" w:rsidR="00AD686D" w:rsidRDefault="00AD686D" w:rsidP="00EE0446">
      <w:pPr>
        <w:spacing w:line="360" w:lineRule="auto"/>
        <w:rPr>
          <w:rFonts w:eastAsiaTheme="minorEastAsia"/>
          <w:shd w:val="clear" w:color="auto" w:fill="FFFFFF"/>
        </w:rPr>
      </w:pPr>
    </w:p>
    <w:p w14:paraId="07B3CE13" w14:textId="77777777" w:rsidR="00EE0446" w:rsidRPr="004E0FBE" w:rsidRDefault="00EE0446" w:rsidP="00EE0446">
      <w:pPr>
        <w:spacing w:line="360" w:lineRule="auto"/>
        <w:rPr>
          <w:rFonts w:eastAsiaTheme="minorEastAsia"/>
          <w:shd w:val="clear" w:color="auto" w:fill="FFFFFF"/>
        </w:rPr>
      </w:pPr>
      <w:r w:rsidRPr="004E0FBE">
        <w:rPr>
          <w:rFonts w:eastAsiaTheme="minorEastAsia"/>
          <w:shd w:val="clear" w:color="auto" w:fill="FFFFFF"/>
        </w:rPr>
        <w:t xml:space="preserve">If 0 </w:t>
      </w:r>
      <m:oMath>
        <m:r>
          <w:rPr>
            <w:rFonts w:ascii="Cambria Math" w:eastAsiaTheme="minorEastAsia" w:hAnsi="Cambria Math"/>
            <w:shd w:val="clear" w:color="auto" w:fill="FFFFFF"/>
          </w:rPr>
          <m:t>≤</m:t>
        </m:r>
      </m:oMath>
      <w:r w:rsidRPr="004E0FBE">
        <w:rPr>
          <w:rFonts w:eastAsiaTheme="minorEastAsia"/>
          <w:shd w:val="clear" w:color="auto" w:fill="FFFFFF"/>
        </w:rPr>
        <w:t xml:space="preserve"> </w:t>
      </w:r>
      <m:oMath>
        <m:r>
          <m:rPr>
            <m:sty m:val="p"/>
          </m:rPr>
          <w:rPr>
            <w:rFonts w:ascii="Cambria Math" w:eastAsiaTheme="minorEastAsia" w:hAnsi="Cambria Math"/>
            <w:color w:val="000000" w:themeColor="text1"/>
          </w:rPr>
          <m:t>ε</m:t>
        </m:r>
        <m:r>
          <w:rPr>
            <w:rFonts w:ascii="Cambria Math" w:eastAsiaTheme="minorEastAsia" w:hAnsi="Cambria Math"/>
            <w:shd w:val="clear" w:color="auto" w:fill="FFFFFF"/>
          </w:rPr>
          <m:t>≤</m:t>
        </m:r>
      </m:oMath>
      <w:r w:rsidRPr="004E0FBE">
        <w:rPr>
          <w:rFonts w:eastAsiaTheme="minorEastAsia"/>
          <w:shd w:val="clear" w:color="auto" w:fill="FFFFFF"/>
        </w:rPr>
        <w:t xml:space="preserve"> 0.154 then </w:t>
      </w:r>
      <m:oMath>
        <m:r>
          <w:rPr>
            <w:rFonts w:ascii="Cambria Math" w:eastAsiaTheme="minorEastAsia" w:hAnsi="Cambria Math"/>
            <w:color w:val="000000" w:themeColor="text1"/>
          </w:rPr>
          <m:t>∆</m:t>
        </m:r>
      </m:oMath>
      <w:r w:rsidRPr="004E0FBE">
        <w:rPr>
          <w:color w:val="000000" w:themeColor="text1"/>
        </w:rPr>
        <w:t>X</w:t>
      </w:r>
      <w:r w:rsidRPr="004E0FBE">
        <w:rPr>
          <w:color w:val="000000" w:themeColor="text1"/>
          <w:vertAlign w:val="subscript"/>
        </w:rPr>
        <w:t xml:space="preserve">L2,t </w:t>
      </w:r>
      <w:r w:rsidRPr="004E0FBE">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4E0FBE">
        <w:rPr>
          <w:rFonts w:eastAsiaTheme="minorEastAsia"/>
          <w:color w:val="000000" w:themeColor="text1"/>
        </w:rPr>
        <w:t>D</w:t>
      </w:r>
      <w:r w:rsidRPr="004E0FBE">
        <w:rPr>
          <w:rFonts w:eastAsiaTheme="minorEastAsia"/>
          <w:color w:val="000000" w:themeColor="text1"/>
          <w:vertAlign w:val="subscript"/>
        </w:rPr>
        <w:t>C2,t</w:t>
      </w:r>
      <w:r w:rsidRPr="004E0FBE">
        <w:rPr>
          <w:rFonts w:eastAsiaTheme="minorEastAsia"/>
          <w:color w:val="000000" w:themeColor="text1"/>
        </w:rPr>
        <w:t>)</w:t>
      </w:r>
      <m:oMath>
        <m:r>
          <w:rPr>
            <w:rFonts w:ascii="Cambria Math" w:eastAsiaTheme="minorEastAsia" w:hAnsi="Cambria Math"/>
            <w:color w:val="000000" w:themeColor="text1"/>
            <w:shd w:val="clear" w:color="auto" w:fill="FFFFFF"/>
          </w:rPr>
          <m:t xml:space="preserve"> ≥ </m:t>
        </m:r>
      </m:oMath>
      <w:r w:rsidRPr="004E0FBE">
        <w:rPr>
          <w:rFonts w:eastAsiaTheme="minorEastAsia"/>
          <w:color w:val="000000" w:themeColor="text1"/>
          <w:shd w:val="clear" w:color="auto" w:fill="FFFFFF"/>
        </w:rPr>
        <w:t xml:space="preserve">0 at all nodes </w:t>
      </w:r>
      <w:r w:rsidRPr="004E0FBE">
        <w:rPr>
          <w:rFonts w:eastAsiaTheme="minorEastAsia"/>
          <w:shd w:val="clear" w:color="auto" w:fill="FFFFFF"/>
        </w:rPr>
        <w:t xml:space="preserve">and thus, </w:t>
      </w:r>
      <m:oMath>
        <m:r>
          <w:rPr>
            <w:rFonts w:ascii="Cambria Math" w:eastAsiaTheme="minorEastAsia" w:hAnsi="Cambria Math"/>
          </w:rPr>
          <m:t>∆</m:t>
        </m:r>
      </m:oMath>
      <w:r w:rsidRPr="004E0FBE">
        <w:rPr>
          <w:rFonts w:eastAsiaTheme="minorEastAsia"/>
          <w:shd w:val="clear" w:color="auto" w:fill="FFFFFF"/>
        </w:rPr>
        <w:t>U</w:t>
      </w:r>
      <w:r w:rsidRPr="004E0FBE">
        <w:rPr>
          <w:rFonts w:eastAsiaTheme="minorEastAsia"/>
          <w:vertAlign w:val="subscript"/>
        </w:rPr>
        <w:t xml:space="preserve">L2,t  </w:t>
      </w:r>
      <m:oMath>
        <m:r>
          <w:rPr>
            <w:rFonts w:ascii="Cambria Math" w:eastAsiaTheme="minorEastAsia" w:hAnsi="Cambria Math"/>
            <w:shd w:val="clear" w:color="auto" w:fill="FFFFFF"/>
          </w:rPr>
          <m:t>≥</m:t>
        </m:r>
      </m:oMath>
      <w:r w:rsidRPr="004E0FBE">
        <w:rPr>
          <w:rFonts w:eastAsiaTheme="minorEastAsia"/>
          <w:shd w:val="clear" w:color="auto" w:fill="FFFFFF"/>
        </w:rPr>
        <w:t xml:space="preserve"> 0 at all nodes. A rational L</w:t>
      </w:r>
      <w:r w:rsidRPr="004E0FBE">
        <w:rPr>
          <w:rFonts w:eastAsiaTheme="minorEastAsia"/>
          <w:shd w:val="clear" w:color="auto" w:fill="FFFFFF"/>
          <w:vertAlign w:val="subscript"/>
        </w:rPr>
        <w:t>2</w:t>
      </w:r>
      <w:r w:rsidRPr="004E0FBE">
        <w:rPr>
          <w:rFonts w:eastAsiaTheme="minorEastAsia"/>
          <w:shd w:val="clear" w:color="auto" w:fill="FFFFFF"/>
        </w:rPr>
        <w:t xml:space="preserve">’s best response is always to pass. In other words, if the intensity of disutility from other-regarding concerns, </w:t>
      </w:r>
      <m:oMath>
        <m:r>
          <m:rPr>
            <m:sty m:val="p"/>
          </m:rPr>
          <w:rPr>
            <w:rFonts w:ascii="Cambria Math" w:eastAsiaTheme="minorEastAsia" w:hAnsi="Cambria Math"/>
            <w:color w:val="000000" w:themeColor="text1"/>
          </w:rPr>
          <m:t>ε</m:t>
        </m:r>
      </m:oMath>
      <w:r w:rsidRPr="004E0FBE">
        <w:rPr>
          <w:rFonts w:eastAsiaTheme="minorEastAsia"/>
          <w:color w:val="000000" w:themeColor="text1"/>
        </w:rPr>
        <w:t>, is below 15.4% the intens</w:t>
      </w:r>
      <w:r>
        <w:rPr>
          <w:rFonts w:eastAsiaTheme="minorEastAsia"/>
          <w:color w:val="000000" w:themeColor="text1"/>
        </w:rPr>
        <w:t xml:space="preserve">ity </w:t>
      </w:r>
      <w:r w:rsidRPr="004E0FBE">
        <w:rPr>
          <w:rFonts w:eastAsiaTheme="minorEastAsia"/>
          <w:color w:val="000000" w:themeColor="text1"/>
        </w:rPr>
        <w:t xml:space="preserve">of additional pecuniary compensation, a rational </w:t>
      </w:r>
      <w:r w:rsidRPr="004E0FBE">
        <w:rPr>
          <w:rFonts w:eastAsiaTheme="minorEastAsia"/>
          <w:shd w:val="clear" w:color="auto" w:fill="FFFFFF"/>
        </w:rPr>
        <w:t>L</w:t>
      </w:r>
      <w:r w:rsidRPr="004E0FBE">
        <w:rPr>
          <w:rFonts w:eastAsiaTheme="minorEastAsia"/>
          <w:shd w:val="clear" w:color="auto" w:fill="FFFFFF"/>
          <w:vertAlign w:val="subscript"/>
        </w:rPr>
        <w:t>2</w:t>
      </w:r>
      <w:r w:rsidRPr="004E0FBE">
        <w:rPr>
          <w:rFonts w:eastAsiaTheme="minorEastAsia"/>
          <w:shd w:val="clear" w:color="auto" w:fill="FFFFFF"/>
        </w:rPr>
        <w:t xml:space="preserve">’s best response is always to pass. </w:t>
      </w:r>
    </w:p>
    <w:p w14:paraId="17F5533F" w14:textId="77777777" w:rsidR="00EE0446" w:rsidRPr="004E0FBE" w:rsidRDefault="00EE0446" w:rsidP="00EE0446">
      <w:pPr>
        <w:spacing w:line="360" w:lineRule="auto"/>
        <w:rPr>
          <w:rFonts w:eastAsiaTheme="minorEastAsia"/>
          <w:shd w:val="clear" w:color="auto" w:fill="FFFFFF"/>
        </w:rPr>
      </w:pPr>
    </w:p>
    <w:p w14:paraId="39874F09" w14:textId="77777777" w:rsidR="00EE0446" w:rsidRPr="004E0FBE" w:rsidRDefault="00EE0446" w:rsidP="00EE0446">
      <w:pPr>
        <w:spacing w:line="360" w:lineRule="auto"/>
        <w:rPr>
          <w:rFonts w:eastAsiaTheme="minorEastAsia"/>
          <w:color w:val="000000" w:themeColor="text1"/>
        </w:rPr>
      </w:pPr>
      <w:r w:rsidRPr="004E0FBE">
        <w:rPr>
          <w:rFonts w:eastAsiaTheme="minorEastAsia"/>
          <w:shd w:val="clear" w:color="auto" w:fill="FFFFFF"/>
        </w:rPr>
        <w:t xml:space="preserve">If 0.154 </w:t>
      </w:r>
      <m:oMath>
        <m:r>
          <w:rPr>
            <w:rFonts w:ascii="Cambria Math" w:eastAsiaTheme="minorEastAsia" w:hAnsi="Cambria Math"/>
            <w:shd w:val="clear" w:color="auto" w:fill="FFFFFF"/>
          </w:rPr>
          <m:t>&lt;</m:t>
        </m:r>
      </m:oMath>
      <w:r w:rsidRPr="004E0FBE">
        <w:rPr>
          <w:rFonts w:eastAsiaTheme="minorEastAsia"/>
          <w:shd w:val="clear" w:color="auto" w:fill="FFFFFF"/>
        </w:rPr>
        <w:t xml:space="preserve"> </w:t>
      </w:r>
      <m:oMath>
        <m:r>
          <m:rPr>
            <m:sty m:val="p"/>
          </m:rPr>
          <w:rPr>
            <w:rFonts w:ascii="Cambria Math" w:eastAsiaTheme="minorEastAsia" w:hAnsi="Cambria Math"/>
            <w:color w:val="000000" w:themeColor="text1"/>
          </w:rPr>
          <m:t>ε</m:t>
        </m:r>
        <m:r>
          <w:rPr>
            <w:rFonts w:ascii="Cambria Math" w:eastAsiaTheme="minorEastAsia" w:hAnsi="Cambria Math"/>
            <w:shd w:val="clear" w:color="auto" w:fill="FFFFFF"/>
          </w:rPr>
          <m:t>≤</m:t>
        </m:r>
      </m:oMath>
      <w:r w:rsidRPr="004E0FBE">
        <w:rPr>
          <w:rFonts w:eastAsiaTheme="minorEastAsia"/>
          <w:shd w:val="clear" w:color="auto" w:fill="FFFFFF"/>
        </w:rPr>
        <w:t xml:space="preserve"> 0.635 then </w:t>
      </w:r>
      <m:oMath>
        <m:r>
          <w:rPr>
            <w:rFonts w:ascii="Cambria Math" w:eastAsiaTheme="minorEastAsia" w:hAnsi="Cambria Math"/>
            <w:color w:val="000000" w:themeColor="text1"/>
          </w:rPr>
          <m:t>∆</m:t>
        </m:r>
      </m:oMath>
      <w:r w:rsidRPr="004E0FBE">
        <w:rPr>
          <w:color w:val="000000" w:themeColor="text1"/>
        </w:rPr>
        <w:t>X</w:t>
      </w:r>
      <w:r>
        <w:rPr>
          <w:color w:val="000000" w:themeColor="text1"/>
          <w:vertAlign w:val="subscript"/>
        </w:rPr>
        <w:t>L2,8</w:t>
      </w:r>
      <w:r w:rsidRPr="004E0FBE">
        <w:rPr>
          <w:color w:val="000000" w:themeColor="text1"/>
          <w:vertAlign w:val="subscript"/>
        </w:rPr>
        <w:t xml:space="preserve"> </w:t>
      </w:r>
      <w:r w:rsidRPr="004E0FBE">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4E0FBE">
        <w:rPr>
          <w:rFonts w:eastAsiaTheme="minorEastAsia"/>
          <w:color w:val="000000" w:themeColor="text1"/>
        </w:rPr>
        <w:t>D</w:t>
      </w:r>
      <w:r>
        <w:rPr>
          <w:rFonts w:eastAsiaTheme="minorEastAsia"/>
          <w:color w:val="000000" w:themeColor="text1"/>
          <w:vertAlign w:val="subscript"/>
        </w:rPr>
        <w:t>C2,8</w:t>
      </w:r>
      <w:r w:rsidRPr="004E0FBE">
        <w:rPr>
          <w:rFonts w:eastAsiaTheme="minorEastAsia"/>
          <w:color w:val="000000" w:themeColor="text1"/>
        </w:rPr>
        <w:t>)</w:t>
      </w:r>
      <m:oMath>
        <m:r>
          <w:rPr>
            <w:rFonts w:ascii="Cambria Math" w:eastAsiaTheme="minorEastAsia" w:hAnsi="Cambria Math"/>
            <w:color w:val="000000" w:themeColor="text1"/>
          </w:rPr>
          <m:t xml:space="preserve"> </m:t>
        </m:r>
        <m:r>
          <w:rPr>
            <w:rFonts w:ascii="Cambria Math" w:eastAsiaTheme="minorEastAsia" w:hAnsi="Cambria Math"/>
            <w:shd w:val="clear" w:color="auto" w:fill="FFFFFF"/>
          </w:rPr>
          <m:t xml:space="preserve">&lt; </m:t>
        </m:r>
      </m:oMath>
      <w:r w:rsidRPr="004E0FBE">
        <w:rPr>
          <w:rFonts w:eastAsiaTheme="minorEastAsia"/>
          <w:color w:val="000000" w:themeColor="text1"/>
          <w:shd w:val="clear" w:color="auto" w:fill="FFFFFF"/>
        </w:rPr>
        <w:t xml:space="preserve">0. </w:t>
      </w:r>
      <w:r w:rsidRPr="004E0FBE">
        <w:rPr>
          <w:rFonts w:eastAsiaTheme="minorEastAsia"/>
          <w:shd w:val="clear" w:color="auto" w:fill="FFFFFF"/>
        </w:rPr>
        <w:t>A rational</w:t>
      </w:r>
      <w:r>
        <w:rPr>
          <w:rFonts w:eastAsiaTheme="minorEastAsia"/>
          <w:shd w:val="clear" w:color="auto" w:fill="FFFFFF"/>
        </w:rPr>
        <w:t xml:space="preserve"> and risk-averse</w:t>
      </w:r>
      <w:r w:rsidRPr="004E0FBE">
        <w:rPr>
          <w:rFonts w:eastAsiaTheme="minorEastAsia"/>
          <w:shd w:val="clear" w:color="auto" w:fill="FFFFFF"/>
        </w:rPr>
        <w:t xml:space="preserve"> L</w:t>
      </w:r>
      <w:r w:rsidRPr="004E0FBE">
        <w:rPr>
          <w:rFonts w:eastAsiaTheme="minorEastAsia"/>
          <w:shd w:val="clear" w:color="auto" w:fill="FFFFFF"/>
          <w:vertAlign w:val="subscript"/>
        </w:rPr>
        <w:t>2</w:t>
      </w:r>
      <w:r w:rsidRPr="004E0FBE">
        <w:rPr>
          <w:rFonts w:eastAsiaTheme="minorEastAsia"/>
          <w:shd w:val="clear" w:color="auto" w:fill="FFFFFF"/>
        </w:rPr>
        <w:t xml:space="preserve">’s best response is to pass until t=7. That is, if the intensity of disutility from other-regarding concerns, </w:t>
      </w:r>
      <m:oMath>
        <m:r>
          <m:rPr>
            <m:sty m:val="p"/>
          </m:rPr>
          <w:rPr>
            <w:rFonts w:ascii="Cambria Math" w:eastAsiaTheme="minorEastAsia" w:hAnsi="Cambria Math"/>
            <w:color w:val="000000" w:themeColor="text1"/>
          </w:rPr>
          <m:t>ε</m:t>
        </m:r>
      </m:oMath>
      <w:r w:rsidRPr="004E0FBE">
        <w:rPr>
          <w:rFonts w:eastAsiaTheme="minorEastAsia"/>
          <w:color w:val="000000" w:themeColor="text1"/>
        </w:rPr>
        <w:t xml:space="preserve">, is between 15.4% and 63.5% the intensity of additional pecuniary compensation, a rational </w:t>
      </w:r>
      <w:r w:rsidRPr="004E0FBE">
        <w:rPr>
          <w:rFonts w:eastAsiaTheme="minorEastAsia"/>
          <w:shd w:val="clear" w:color="auto" w:fill="FFFFFF"/>
        </w:rPr>
        <w:t>L</w:t>
      </w:r>
      <w:r w:rsidRPr="004E0FBE">
        <w:rPr>
          <w:rFonts w:eastAsiaTheme="minorEastAsia"/>
          <w:shd w:val="clear" w:color="auto" w:fill="FFFFFF"/>
          <w:vertAlign w:val="subscript"/>
        </w:rPr>
        <w:t>2</w:t>
      </w:r>
      <w:r w:rsidRPr="004E0FBE">
        <w:rPr>
          <w:rFonts w:eastAsiaTheme="minorEastAsia"/>
          <w:shd w:val="clear" w:color="auto" w:fill="FFFFFF"/>
        </w:rPr>
        <w:t xml:space="preserve">’s best response is to pass until t=7. </w:t>
      </w:r>
    </w:p>
    <w:p w14:paraId="16EFDA1F" w14:textId="77777777" w:rsidR="00EE0446" w:rsidRPr="004E0FBE" w:rsidRDefault="00EE0446" w:rsidP="00EE0446">
      <w:pPr>
        <w:spacing w:line="360" w:lineRule="auto"/>
        <w:rPr>
          <w:rFonts w:eastAsiaTheme="minorEastAsia"/>
          <w:shd w:val="clear" w:color="auto" w:fill="FFFFFF"/>
        </w:rPr>
      </w:pPr>
    </w:p>
    <w:p w14:paraId="0A8FA68A" w14:textId="77777777" w:rsidR="00EE0446" w:rsidRPr="004E0FBE" w:rsidRDefault="00EE0446" w:rsidP="00EE0446">
      <w:pPr>
        <w:spacing w:line="360" w:lineRule="auto"/>
        <w:rPr>
          <w:rFonts w:eastAsiaTheme="minorEastAsia"/>
          <w:shd w:val="clear" w:color="auto" w:fill="FFFFFF"/>
        </w:rPr>
      </w:pPr>
      <w:r w:rsidRPr="006C2274">
        <w:rPr>
          <w:rFonts w:eastAsiaTheme="minorEastAsia"/>
          <w:shd w:val="clear" w:color="auto" w:fill="FFFFFF"/>
        </w:rPr>
        <w:t xml:space="preserve">If 0.635 </w:t>
      </w:r>
      <m:oMath>
        <m:r>
          <w:rPr>
            <w:rFonts w:ascii="Cambria Math" w:eastAsiaTheme="minorEastAsia" w:hAnsi="Cambria Math"/>
            <w:shd w:val="clear" w:color="auto" w:fill="FFFFFF"/>
          </w:rPr>
          <m:t>&lt;</m:t>
        </m:r>
      </m:oMath>
      <w:r w:rsidRPr="006C2274">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6C2274">
        <w:rPr>
          <w:rFonts w:eastAsiaTheme="minorEastAsia"/>
          <w:color w:val="000000" w:themeColor="text1"/>
        </w:rPr>
        <w:t xml:space="preserve"> then </w:t>
      </w:r>
      <m:oMath>
        <m:r>
          <w:rPr>
            <w:rFonts w:ascii="Cambria Math" w:eastAsiaTheme="minorEastAsia" w:hAnsi="Cambria Math"/>
            <w:color w:val="000000" w:themeColor="text1"/>
          </w:rPr>
          <m:t>∆</m:t>
        </m:r>
      </m:oMath>
      <w:r w:rsidRPr="006C2274">
        <w:rPr>
          <w:color w:val="000000" w:themeColor="text1"/>
        </w:rPr>
        <w:t>X</w:t>
      </w:r>
      <w:r w:rsidRPr="006C2274">
        <w:rPr>
          <w:color w:val="000000" w:themeColor="text1"/>
          <w:vertAlign w:val="subscript"/>
        </w:rPr>
        <w:t xml:space="preserve">L2,2 </w:t>
      </w:r>
      <w:r w:rsidRPr="006C2274">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6C2274">
        <w:rPr>
          <w:rFonts w:eastAsiaTheme="minorEastAsia"/>
          <w:color w:val="000000" w:themeColor="text1"/>
        </w:rPr>
        <w:t>D</w:t>
      </w:r>
      <w:r w:rsidRPr="006C2274">
        <w:rPr>
          <w:rFonts w:eastAsiaTheme="minorEastAsia"/>
          <w:color w:val="000000" w:themeColor="text1"/>
          <w:vertAlign w:val="subscript"/>
        </w:rPr>
        <w:t>C2,2</w:t>
      </w:r>
      <w:r w:rsidRPr="006C2274">
        <w:rPr>
          <w:rFonts w:eastAsiaTheme="minorEastAsia"/>
          <w:color w:val="000000" w:themeColor="text1"/>
        </w:rPr>
        <w:t>)</w:t>
      </w:r>
      <m:oMath>
        <m:r>
          <w:rPr>
            <w:rFonts w:ascii="Cambria Math" w:eastAsiaTheme="minorEastAsia" w:hAnsi="Cambria Math"/>
            <w:color w:val="000000" w:themeColor="text1"/>
          </w:rPr>
          <m:t xml:space="preserve"> </m:t>
        </m:r>
        <m:r>
          <w:rPr>
            <w:rFonts w:ascii="Cambria Math" w:eastAsiaTheme="minorEastAsia" w:hAnsi="Cambria Math"/>
            <w:shd w:val="clear" w:color="auto" w:fill="FFFFFF"/>
          </w:rPr>
          <m:t>&lt;</m:t>
        </m:r>
        <m:r>
          <w:rPr>
            <w:rFonts w:ascii="Cambria Math" w:eastAsiaTheme="minorEastAsia" w:hAnsi="Cambria Math"/>
            <w:color w:val="000000" w:themeColor="text1"/>
            <w:shd w:val="clear" w:color="auto" w:fill="FFFFFF"/>
          </w:rPr>
          <m:t xml:space="preserve"> </m:t>
        </m:r>
      </m:oMath>
      <w:r w:rsidRPr="006C2274">
        <w:rPr>
          <w:rFonts w:eastAsiaTheme="minorEastAsia"/>
          <w:color w:val="000000" w:themeColor="text1"/>
          <w:shd w:val="clear" w:color="auto" w:fill="FFFFFF"/>
        </w:rPr>
        <w:t xml:space="preserve">0 and </w:t>
      </w:r>
      <w:r w:rsidRPr="006C2274">
        <w:rPr>
          <w:rFonts w:eastAsiaTheme="minorEastAsia"/>
          <w:shd w:val="clear" w:color="auto" w:fill="FFFFFF"/>
        </w:rPr>
        <w:t xml:space="preserve">thus </w:t>
      </w:r>
      <m:oMath>
        <m:r>
          <w:rPr>
            <w:rFonts w:ascii="Cambria Math" w:eastAsiaTheme="minorEastAsia" w:hAnsi="Cambria Math"/>
          </w:rPr>
          <m:t>∆</m:t>
        </m:r>
      </m:oMath>
      <w:r w:rsidRPr="006C2274">
        <w:rPr>
          <w:rFonts w:eastAsiaTheme="minorEastAsia"/>
          <w:shd w:val="clear" w:color="auto" w:fill="FFFFFF"/>
        </w:rPr>
        <w:t>U</w:t>
      </w:r>
      <w:r w:rsidRPr="006C2274">
        <w:rPr>
          <w:rFonts w:eastAsiaTheme="minorEastAsia"/>
          <w:vertAlign w:val="subscript"/>
        </w:rPr>
        <w:t xml:space="preserve">L2,2 </w:t>
      </w:r>
      <m:oMath>
        <m:r>
          <w:rPr>
            <w:rFonts w:ascii="Cambria Math" w:eastAsiaTheme="minorEastAsia" w:hAnsi="Cambria Math"/>
            <w:vertAlign w:val="subscript"/>
          </w:rPr>
          <m:t>&lt;</m:t>
        </m:r>
      </m:oMath>
      <w:r w:rsidRPr="006C2274">
        <w:rPr>
          <w:rFonts w:eastAsiaTheme="minorEastAsia"/>
          <w:shd w:val="clear" w:color="auto" w:fill="FFFFFF"/>
        </w:rPr>
        <w:t xml:space="preserve"> 0. A rational</w:t>
      </w:r>
      <w:r w:rsidRPr="004E0FBE">
        <w:rPr>
          <w:rFonts w:eastAsiaTheme="minorEastAsia"/>
          <w:shd w:val="clear" w:color="auto" w:fill="FFFFFF"/>
        </w:rPr>
        <w:t xml:space="preserve"> </w:t>
      </w:r>
      <w:r>
        <w:rPr>
          <w:rFonts w:eastAsiaTheme="minorEastAsia"/>
          <w:shd w:val="clear" w:color="auto" w:fill="FFFFFF"/>
        </w:rPr>
        <w:t xml:space="preserve">and risk-averse </w:t>
      </w:r>
      <w:r w:rsidRPr="004E0FBE">
        <w:rPr>
          <w:rFonts w:eastAsiaTheme="minorEastAsia"/>
          <w:shd w:val="clear" w:color="auto" w:fill="FFFFFF"/>
        </w:rPr>
        <w:t>L</w:t>
      </w:r>
      <w:r w:rsidRPr="004E0FBE">
        <w:rPr>
          <w:rFonts w:eastAsiaTheme="minorEastAsia"/>
          <w:shd w:val="clear" w:color="auto" w:fill="FFFFFF"/>
          <w:vertAlign w:val="subscript"/>
        </w:rPr>
        <w:t>2</w:t>
      </w:r>
      <w:r w:rsidRPr="004E0FBE">
        <w:rPr>
          <w:rFonts w:eastAsiaTheme="minorEastAsia"/>
          <w:shd w:val="clear" w:color="auto" w:fill="FFFFFF"/>
        </w:rPr>
        <w:t xml:space="preserve">’s best response is to underinvest and terminate at t=1. That is, if the intensity of disutility from other-regarding concerns, </w:t>
      </w:r>
      <m:oMath>
        <m:r>
          <m:rPr>
            <m:sty m:val="p"/>
          </m:rPr>
          <w:rPr>
            <w:rFonts w:ascii="Cambria Math" w:eastAsiaTheme="minorEastAsia" w:hAnsi="Cambria Math"/>
            <w:color w:val="000000" w:themeColor="text1"/>
          </w:rPr>
          <m:t>ε</m:t>
        </m:r>
      </m:oMath>
      <w:r w:rsidRPr="004E0FBE">
        <w:rPr>
          <w:rFonts w:eastAsiaTheme="minorEastAsia"/>
          <w:color w:val="000000" w:themeColor="text1"/>
        </w:rPr>
        <w:t xml:space="preserve"> exceeds 63.5% the intensity of additional pecuniary compensation, a rational </w:t>
      </w:r>
      <w:r w:rsidRPr="004E0FBE">
        <w:rPr>
          <w:rFonts w:eastAsiaTheme="minorEastAsia"/>
          <w:shd w:val="clear" w:color="auto" w:fill="FFFFFF"/>
        </w:rPr>
        <w:t>L</w:t>
      </w:r>
      <w:r w:rsidRPr="004E0FBE">
        <w:rPr>
          <w:rFonts w:eastAsiaTheme="minorEastAsia"/>
          <w:shd w:val="clear" w:color="auto" w:fill="FFFFFF"/>
          <w:vertAlign w:val="subscript"/>
        </w:rPr>
        <w:t>2</w:t>
      </w:r>
      <w:r w:rsidRPr="004E0FBE">
        <w:rPr>
          <w:rFonts w:eastAsiaTheme="minorEastAsia"/>
          <w:shd w:val="clear" w:color="auto" w:fill="FFFFFF"/>
        </w:rPr>
        <w:t>’s best response is to terminate at their first decision-node.</w:t>
      </w:r>
    </w:p>
    <w:p w14:paraId="43F4B65A" w14:textId="77777777" w:rsidR="00EE0446" w:rsidRDefault="00EE0446" w:rsidP="00EE0446">
      <w:pPr>
        <w:spacing w:line="360" w:lineRule="auto"/>
        <w:rPr>
          <w:rFonts w:eastAsiaTheme="minorEastAsia"/>
          <w:sz w:val="22"/>
          <w:szCs w:val="22"/>
          <w:shd w:val="clear" w:color="auto" w:fill="FFFFFF"/>
        </w:rPr>
      </w:pPr>
    </w:p>
    <w:p w14:paraId="1E0479B5" w14:textId="77777777" w:rsidR="00EE0446" w:rsidRDefault="00EE0446" w:rsidP="00EE0446">
      <w:pPr>
        <w:spacing w:line="360" w:lineRule="auto"/>
        <w:rPr>
          <w:rFonts w:eastAsiaTheme="minorEastAsia"/>
          <w:color w:val="000000" w:themeColor="text1"/>
        </w:rPr>
      </w:pPr>
      <w:r>
        <w:rPr>
          <w:rFonts w:eastAsiaTheme="minorEastAsia"/>
          <w:shd w:val="clear" w:color="auto" w:fill="FFFFFF"/>
        </w:rPr>
        <w:t xml:space="preserve">Recall, the typical lawyer is assumed to source relatively low intensity </w:t>
      </w:r>
      <m:oMath>
        <m:r>
          <m:rPr>
            <m:sty m:val="p"/>
          </m:rPr>
          <w:rPr>
            <w:rFonts w:ascii="Cambria Math" w:eastAsiaTheme="minorEastAsia" w:hAnsi="Cambria Math"/>
            <w:color w:val="000000" w:themeColor="text1"/>
          </w:rPr>
          <m:t>ε</m:t>
        </m:r>
      </m:oMath>
      <w:r>
        <w:rPr>
          <w:rFonts w:eastAsiaTheme="minorEastAsia"/>
          <w:color w:val="000000" w:themeColor="text1"/>
        </w:rPr>
        <w:t>.</w:t>
      </w:r>
      <m:oMath>
        <m:r>
          <m:rPr>
            <m:sty m:val="p"/>
          </m:rPr>
          <w:rPr>
            <w:rFonts w:ascii="Cambria Math" w:eastAsiaTheme="minorEastAsia" w:hAnsi="Cambria Math"/>
            <w:color w:val="000000" w:themeColor="text1"/>
          </w:rPr>
          <m:t xml:space="preserve"> </m:t>
        </m:r>
      </m:oMath>
      <w:r>
        <w:rPr>
          <w:rFonts w:eastAsiaTheme="minorEastAsia"/>
          <w:bCs/>
          <w:iCs/>
          <w:shd w:val="clear" w:color="auto" w:fill="FFFFFF"/>
        </w:rPr>
        <w:t>If L</w:t>
      </w:r>
      <w:r>
        <w:rPr>
          <w:rFonts w:eastAsiaTheme="minorEastAsia"/>
          <w:bCs/>
          <w:iCs/>
          <w:shd w:val="clear" w:color="auto" w:fill="FFFFFF"/>
          <w:vertAlign w:val="subscript"/>
        </w:rPr>
        <w:t>1</w:t>
      </w:r>
      <w:r>
        <w:rPr>
          <w:rFonts w:eastAsiaTheme="minorEastAsia"/>
          <w:bCs/>
          <w:iCs/>
          <w:shd w:val="clear" w:color="auto" w:fill="FFFFFF"/>
        </w:rPr>
        <w:t xml:space="preserve"> is a ‘typical lawyer’ such that </w:t>
      </w:r>
      <w:r w:rsidRPr="004F2AF1">
        <w:rPr>
          <w:rFonts w:eastAsiaTheme="minorEastAsia"/>
          <w:bCs/>
          <w:iCs/>
          <w:shd w:val="clear" w:color="auto" w:fill="FFFFFF"/>
        </w:rPr>
        <w:t>that</w:t>
      </w:r>
      <w:r>
        <w:rPr>
          <w:rFonts w:eastAsiaTheme="minorEastAsia"/>
          <w:color w:val="000000" w:themeColor="text1"/>
          <w:sz w:val="22"/>
          <w:szCs w:val="22"/>
        </w:rPr>
        <w:t xml:space="preserve"> </w:t>
      </w:r>
      <w:r>
        <w:rPr>
          <w:rFonts w:eastAsiaTheme="minorEastAsia"/>
          <w:shd w:val="clear" w:color="auto" w:fill="FFFFFF"/>
        </w:rPr>
        <w:t xml:space="preserve">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L1,7</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color w:val="000000" w:themeColor="text1"/>
        </w:rPr>
        <w:t xml:space="preserve"> and </w:t>
      </w:r>
      <w:r>
        <w:rPr>
          <w:rFonts w:eastAsiaTheme="minorEastAsia"/>
          <w:bCs/>
          <w:iCs/>
          <w:shd w:val="clear" w:color="auto" w:fill="FFFFFF"/>
        </w:rPr>
        <w:t>L</w:t>
      </w:r>
      <w:r>
        <w:rPr>
          <w:rFonts w:eastAsiaTheme="minorEastAsia"/>
          <w:bCs/>
          <w:iCs/>
          <w:shd w:val="clear" w:color="auto" w:fill="FFFFFF"/>
          <w:vertAlign w:val="subscript"/>
        </w:rPr>
        <w:t>2</w:t>
      </w:r>
      <w:r>
        <w:rPr>
          <w:rFonts w:eastAsiaTheme="minorEastAsia"/>
          <w:bCs/>
          <w:iCs/>
          <w:shd w:val="clear" w:color="auto" w:fill="FFFFFF"/>
        </w:rPr>
        <w:t xml:space="preserve"> is a ‘typical lawyer’ </w:t>
      </w:r>
      <w:r w:rsidRPr="004F2AF1">
        <w:rPr>
          <w:rFonts w:eastAsiaTheme="minorEastAsia"/>
          <w:bCs/>
          <w:iCs/>
          <w:shd w:val="clear" w:color="auto" w:fill="FFFFFF"/>
        </w:rPr>
        <w:t>such that</w:t>
      </w:r>
      <w:r>
        <w:rPr>
          <w:rFonts w:eastAsiaTheme="minorEastAsia"/>
          <w:bCs/>
          <w:iCs/>
          <w:shd w:val="clear" w:color="auto" w:fill="FFFFFF"/>
        </w:rPr>
        <w:t xml:space="preserve"> </w:t>
      </w:r>
      <w:r>
        <w:rPr>
          <w:rFonts w:eastAsiaTheme="minorEastAsia"/>
          <w:shd w:val="clear" w:color="auto" w:fill="FFFFFF"/>
        </w:rPr>
        <w:t xml:space="preserve">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Pr>
          <w:rFonts w:eastAsiaTheme="minorEastAsia"/>
          <w:color w:val="000000" w:themeColor="text1"/>
        </w:rPr>
        <w:t>, then both lawyers will always find it in their best interest to pass and the game will terminate at t=</w:t>
      </w:r>
      <w:r w:rsidRPr="00CC6AB7">
        <w:rPr>
          <w:rFonts w:eastAsiaTheme="minorEastAsia"/>
          <w:color w:val="000000" w:themeColor="text1"/>
        </w:rPr>
        <w:t xml:space="preserve">8. If </w:t>
      </w:r>
      <w:r w:rsidRPr="00CC6AB7">
        <w:rPr>
          <w:rFonts w:eastAsiaTheme="minorEastAsia"/>
          <w:color w:val="000000" w:themeColor="text1"/>
          <w:shd w:val="clear" w:color="auto" w:fill="FFFFFF"/>
        </w:rPr>
        <w:t xml:space="preserve">0 </w:t>
      </w:r>
      <m:oMath>
        <m:r>
          <w:rPr>
            <w:rFonts w:ascii="Cambria Math" w:eastAsiaTheme="minorEastAsia" w:hAnsi="Cambria Math"/>
            <w:color w:val="000000" w:themeColor="text1"/>
            <w:shd w:val="clear" w:color="auto" w:fill="FFFFFF"/>
          </w:rPr>
          <m:t>≤</m:t>
        </m:r>
      </m:oMath>
      <w:r w:rsidRPr="00CC6AB7">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CC6AB7">
        <w:rPr>
          <w:rFonts w:eastAsiaTheme="minorEastAsia"/>
          <w:color w:val="000000" w:themeColor="text1"/>
        </w:rPr>
        <w:t xml:space="preserve"> </w:t>
      </w:r>
      <m:oMath>
        <m:r>
          <w:rPr>
            <w:rFonts w:ascii="Cambria Math" w:eastAsiaTheme="minorEastAsia" w:hAnsi="Cambria Math"/>
            <w:color w:val="000000" w:themeColor="text1"/>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L1,7</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sidRPr="00CC6AB7">
        <w:rPr>
          <w:rFonts w:eastAsiaTheme="minorEastAsia"/>
          <w:color w:val="000000" w:themeColor="text1"/>
        </w:rPr>
        <w:t xml:space="preserve"> for L</w:t>
      </w:r>
      <w:r w:rsidRPr="00CC6AB7">
        <w:rPr>
          <w:rFonts w:eastAsiaTheme="minorEastAsia"/>
          <w:color w:val="000000" w:themeColor="text1"/>
          <w:vertAlign w:val="subscript"/>
        </w:rPr>
        <w:t>1</w:t>
      </w:r>
      <w:r w:rsidRPr="00CC6AB7">
        <w:rPr>
          <w:rFonts w:eastAsiaTheme="minorEastAsia"/>
          <w:color w:val="000000" w:themeColor="text1"/>
        </w:rPr>
        <w:t xml:space="preserve"> and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sidRPr="00CC6AB7">
        <w:rPr>
          <w:rFonts w:eastAsiaTheme="minorEastAsia"/>
          <w:color w:val="000000" w:themeColor="text1"/>
        </w:rPr>
        <w:t xml:space="preserve"> &lt; </w:t>
      </w:r>
      <m:oMath>
        <m:r>
          <m:rPr>
            <m:sty m:val="p"/>
          </m:rPr>
          <w:rPr>
            <w:rFonts w:ascii="Cambria Math" w:eastAsiaTheme="minorEastAsia" w:hAnsi="Cambria Math"/>
            <w:color w:val="000000" w:themeColor="text1"/>
          </w:rPr>
          <m:t>ε</m:t>
        </m:r>
      </m:oMath>
      <w:r w:rsidRPr="00CC6AB7">
        <w:rPr>
          <w:rFonts w:eastAsiaTheme="minorEastAsia"/>
          <w:color w:val="000000" w:themeColor="text1"/>
        </w:rPr>
        <w:t xml:space="preserve"> </w:t>
      </w:r>
      <m:oMath>
        <m:r>
          <w:rPr>
            <w:rFonts w:ascii="Cambria Math" w:eastAsiaTheme="minorEastAsia" w:hAnsi="Cambria Math"/>
            <w:color w:val="000000" w:themeColor="text1"/>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L2,2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C2,2</m:t>
                </m:r>
              </m:sub>
            </m:sSub>
            <m:r>
              <w:rPr>
                <w:rFonts w:ascii="Cambria Math" w:eastAsiaTheme="minorEastAsia" w:hAnsi="Cambria Math"/>
                <w:color w:val="000000" w:themeColor="text1"/>
              </w:rPr>
              <m:t>|</m:t>
            </m:r>
          </m:den>
        </m:f>
      </m:oMath>
      <w:r w:rsidRPr="00CC6AB7">
        <w:rPr>
          <w:rFonts w:eastAsiaTheme="minorEastAsia"/>
          <w:color w:val="000000" w:themeColor="text1"/>
        </w:rPr>
        <w:t xml:space="preserve"> for L</w:t>
      </w:r>
      <w:r w:rsidRPr="00CC6AB7">
        <w:rPr>
          <w:rFonts w:eastAsiaTheme="minorEastAsia"/>
          <w:color w:val="000000" w:themeColor="text1"/>
          <w:vertAlign w:val="subscript"/>
        </w:rPr>
        <w:t>2</w:t>
      </w:r>
      <w:r w:rsidRPr="00CC6AB7">
        <w:rPr>
          <w:rFonts w:eastAsiaTheme="minorEastAsia"/>
          <w:color w:val="000000" w:themeColor="text1"/>
        </w:rPr>
        <w:t xml:space="preserve">, then the game will terminate at t=7. </w:t>
      </w:r>
      <w:r w:rsidRPr="00662FDE">
        <w:rPr>
          <w:rFonts w:eastAsiaTheme="minorEastAsia"/>
          <w:color w:val="000000" w:themeColor="text1"/>
        </w:rPr>
        <w:t xml:space="preserve">If </w:t>
      </w:r>
      <w:r w:rsidRPr="00662FDE">
        <w:rPr>
          <w:rFonts w:eastAsiaTheme="minorEastAsia"/>
          <w:color w:val="000000" w:themeColor="text1"/>
          <w:shd w:val="clear" w:color="auto" w:fill="FFFFFF"/>
        </w:rPr>
        <w:t xml:space="preserve">0 </w:t>
      </w:r>
      <m:oMath>
        <m:r>
          <w:rPr>
            <w:rFonts w:ascii="Cambria Math" w:eastAsiaTheme="minorEastAsia" w:hAnsi="Cambria Math"/>
            <w:color w:val="000000" w:themeColor="text1"/>
            <w:shd w:val="clear" w:color="auto" w:fill="FFFFFF"/>
          </w:rPr>
          <m:t>≤</m:t>
        </m:r>
      </m:oMath>
      <w:r w:rsidRPr="00662FDE">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oMath>
      <w:r w:rsidRPr="00662FDE">
        <w:rPr>
          <w:rFonts w:eastAsiaTheme="minorEastAsia"/>
          <w:color w:val="000000" w:themeColor="text1"/>
        </w:rPr>
        <w:t xml:space="preserve"> </w:t>
      </w:r>
      <m:oMath>
        <m:r>
          <w:rPr>
            <w:rFonts w:ascii="Cambria Math" w:eastAsiaTheme="minorEastAsia" w:hAnsi="Cambria Math"/>
            <w:color w:val="000000" w:themeColor="text1"/>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L2,2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C2,2</m:t>
                </m:r>
              </m:sub>
            </m:sSub>
            <m:r>
              <w:rPr>
                <w:rFonts w:ascii="Cambria Math" w:eastAsiaTheme="minorEastAsia" w:hAnsi="Cambria Math"/>
                <w:color w:val="000000" w:themeColor="text1"/>
              </w:rPr>
              <m:t>|</m:t>
            </m:r>
          </m:den>
        </m:f>
      </m:oMath>
      <w:r w:rsidRPr="00662FDE">
        <w:rPr>
          <w:rFonts w:eastAsiaTheme="minorEastAsia"/>
          <w:color w:val="000000" w:themeColor="text1"/>
        </w:rPr>
        <w:t xml:space="preserve">  for L</w:t>
      </w:r>
      <w:r w:rsidRPr="00662FDE">
        <w:rPr>
          <w:rFonts w:eastAsiaTheme="minorEastAsia"/>
          <w:color w:val="000000" w:themeColor="text1"/>
          <w:vertAlign w:val="subscript"/>
        </w:rPr>
        <w:t xml:space="preserve">2 </w:t>
      </w:r>
      <w:r w:rsidRPr="00662FDE">
        <w:rPr>
          <w:rFonts w:eastAsiaTheme="minorEastAsia"/>
          <w:color w:val="000000" w:themeColor="text1"/>
        </w:rPr>
        <w:t xml:space="preserve">and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L1,7</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sidRPr="00662FDE">
        <w:rPr>
          <w:rFonts w:eastAsiaTheme="minorEastAsia"/>
          <w:color w:val="000000" w:themeColor="text1"/>
        </w:rPr>
        <w:t xml:space="preserve"> </w:t>
      </w:r>
      <m:oMath>
        <m:r>
          <w:rPr>
            <w:rFonts w:ascii="Cambria Math" w:eastAsiaTheme="minorEastAsia" w:hAnsi="Cambria Math"/>
            <w:color w:val="000000" w:themeColor="text1"/>
          </w:rPr>
          <m:t>&lt;</m:t>
        </m:r>
      </m:oMath>
      <w:r w:rsidRPr="00662FDE">
        <w:rPr>
          <w:rFonts w:eastAsiaTheme="minorEastAsia"/>
          <w:color w:val="000000" w:themeColor="text1"/>
          <w:shd w:val="clear" w:color="auto" w:fill="FFFFFF"/>
        </w:rPr>
        <w:t xml:space="preserve"> </w:t>
      </w:r>
      <m:oMath>
        <m:r>
          <m:rPr>
            <m:sty m:val="p"/>
          </m:rPr>
          <w:rPr>
            <w:rFonts w:ascii="Cambria Math" w:eastAsiaTheme="minorEastAsia" w:hAnsi="Cambria Math"/>
            <w:color w:val="000000" w:themeColor="text1"/>
          </w:rPr>
          <m:t>ε</m:t>
        </m:r>
        <m:r>
          <w:rPr>
            <w:rFonts w:ascii="Cambria Math" w:eastAsiaTheme="minorEastAsia" w:hAnsi="Cambria Math"/>
            <w:color w:val="000000" w:themeColor="text1"/>
            <w:shd w:val="clear" w:color="auto" w:fill="FFFFFF"/>
          </w:rPr>
          <m:t>≤</m:t>
        </m:r>
      </m:oMath>
      <w:r w:rsidRPr="00662FDE">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L1,3</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C1,3</m:t>
                </m:r>
              </m:sub>
            </m:sSub>
            <m:r>
              <w:rPr>
                <w:rFonts w:ascii="Cambria Math" w:eastAsiaTheme="minorEastAsia" w:hAnsi="Cambria Math"/>
                <w:color w:val="000000" w:themeColor="text1"/>
              </w:rPr>
              <m:t>|</m:t>
            </m:r>
          </m:den>
        </m:f>
      </m:oMath>
      <w:r w:rsidRPr="00662FDE">
        <w:rPr>
          <w:rFonts w:eastAsiaTheme="minorEastAsia"/>
          <w:color w:val="000000" w:themeColor="text1"/>
        </w:rPr>
        <w:t xml:space="preserve"> for</w:t>
      </w:r>
      <w:r w:rsidRPr="00AB76BF">
        <w:rPr>
          <w:rFonts w:eastAsiaTheme="minorEastAsia"/>
          <w:color w:val="000000" w:themeColor="text1"/>
        </w:rPr>
        <w:t xml:space="preserve"> L</w:t>
      </w:r>
      <w:r w:rsidRPr="00AB76BF">
        <w:rPr>
          <w:rFonts w:eastAsiaTheme="minorEastAsia"/>
          <w:color w:val="000000" w:themeColor="text1"/>
          <w:vertAlign w:val="subscript"/>
        </w:rPr>
        <w:t>1</w:t>
      </w:r>
      <w:r w:rsidRPr="00AB76BF">
        <w:rPr>
          <w:rFonts w:eastAsiaTheme="minorEastAsia"/>
          <w:color w:val="000000" w:themeColor="text1"/>
        </w:rPr>
        <w:t xml:space="preserve"> then the game will terminate at t=6. </w:t>
      </w:r>
      <w:r>
        <w:rPr>
          <w:rFonts w:eastAsiaTheme="minorEastAsia"/>
          <w:color w:val="000000" w:themeColor="text1"/>
        </w:rPr>
        <w:t xml:space="preserve">If any of these relationships hold, then ceteris paribus, lawyers will overinvest when earning equal hourly-rates. This proposition suggests that relying on a lawyer’s other-regarding concerns may not be sufficient in deterring costly overinvestment.   </w:t>
      </w:r>
    </w:p>
    <w:p w14:paraId="2CBDD485" w14:textId="77777777" w:rsidR="00EE0446" w:rsidRDefault="00EE0446" w:rsidP="00EE0446">
      <w:pPr>
        <w:spacing w:line="360" w:lineRule="auto"/>
        <w:rPr>
          <w:rFonts w:eastAsiaTheme="minorEastAsia"/>
          <w:color w:val="000000" w:themeColor="text1"/>
        </w:rPr>
      </w:pPr>
    </w:p>
    <w:p w14:paraId="098EBBE6" w14:textId="77777777" w:rsidR="00EE0446" w:rsidRDefault="00EE0446" w:rsidP="00EE0446">
      <w:pPr>
        <w:spacing w:line="360" w:lineRule="auto"/>
        <w:rPr>
          <w:rFonts w:eastAsiaTheme="minorEastAsia"/>
          <w:color w:val="000000" w:themeColor="text1"/>
        </w:rPr>
      </w:pPr>
      <w:r w:rsidRPr="003674FB">
        <w:rPr>
          <w:rFonts w:eastAsiaTheme="minorEastAsia"/>
          <w:b/>
          <w:bCs/>
          <w:i/>
          <w:iCs/>
          <w:shd w:val="clear" w:color="auto" w:fill="FFFFFF"/>
        </w:rPr>
        <w:t>Welfare Implications</w:t>
      </w:r>
      <w:r w:rsidRPr="003674FB">
        <w:rPr>
          <w:rFonts w:eastAsiaTheme="minorEastAsia"/>
          <w:b/>
          <w:bCs/>
          <w:iCs/>
          <w:shd w:val="clear" w:color="auto" w:fill="FFFFFF"/>
        </w:rPr>
        <w:t xml:space="preserve">: </w:t>
      </w:r>
      <w:r>
        <w:rPr>
          <w:rFonts w:eastAsiaTheme="minorEastAsia"/>
          <w:bCs/>
          <w:iCs/>
          <w:shd w:val="clear" w:color="auto" w:fill="FFFFFF"/>
        </w:rPr>
        <w:t>If, for the typical L</w:t>
      </w:r>
      <w:r>
        <w:rPr>
          <w:rFonts w:eastAsiaTheme="minorEastAsia"/>
          <w:bCs/>
          <w:iCs/>
          <w:shd w:val="clear" w:color="auto" w:fill="FFFFFF"/>
          <w:vertAlign w:val="subscript"/>
        </w:rPr>
        <w:t>1</w:t>
      </w:r>
      <w:r>
        <w:rPr>
          <w:rFonts w:eastAsiaTheme="minorEastAsia"/>
          <w:bCs/>
          <w:iCs/>
          <w:shd w:val="clear" w:color="auto" w:fill="FFFFFF"/>
        </w:rPr>
        <w:t xml:space="preserve">, </w:t>
      </w:r>
      <w:r>
        <w:rPr>
          <w:rFonts w:eastAsiaTheme="minorEastAsia"/>
          <w:shd w:val="clear" w:color="auto" w:fill="FFFFFF"/>
        </w:rPr>
        <w:t xml:space="preserve">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color w:val="000000" w:themeColor="text1"/>
        </w:rPr>
        <w:t xml:space="preserve"> and for the typical L</w:t>
      </w:r>
      <w:r>
        <w:rPr>
          <w:rFonts w:eastAsiaTheme="minorEastAsia"/>
          <w:color w:val="000000" w:themeColor="text1"/>
          <w:vertAlign w:val="subscript"/>
        </w:rPr>
        <w:t xml:space="preserve">2, </w:t>
      </w:r>
      <w:r>
        <w:rPr>
          <w:rFonts w:eastAsiaTheme="minorEastAsia"/>
          <w:shd w:val="clear" w:color="auto" w:fill="FFFFFF"/>
        </w:rPr>
        <w:t xml:space="preserve">0 </w:t>
      </w:r>
      <m:oMath>
        <m:r>
          <w:rPr>
            <w:rFonts w:ascii="Cambria Math" w:eastAsiaTheme="minorEastAsia" w:hAnsi="Cambria Math"/>
            <w:shd w:val="clear" w:color="auto" w:fill="FFFFFF"/>
          </w:rPr>
          <m:t>≤</m:t>
        </m:r>
      </m:oMath>
      <w:r>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vertAlign w:val="subscript"/>
              </w:rPr>
              <m:t xml:space="preserve"> </m:t>
            </m:r>
            <m:r>
              <w:rPr>
                <w:rFonts w:ascii="Cambria Math" w:eastAsiaTheme="minorEastAsia" w:hAnsi="Cambria Math"/>
                <w:color w:val="000000" w:themeColor="text1"/>
              </w:rPr>
              <m:t>|</m:t>
            </m:r>
          </m:den>
        </m:f>
      </m:oMath>
      <w:r>
        <w:rPr>
          <w:rFonts w:eastAsiaTheme="minorEastAsia"/>
          <w:color w:val="000000" w:themeColor="text1"/>
        </w:rPr>
        <w:t xml:space="preserve">, then the game will terminate at t=8. At t=8, total client welfare (225) is less than the client welfare maximising outcome (270). </w:t>
      </w:r>
    </w:p>
    <w:p w14:paraId="63D49E01" w14:textId="77777777" w:rsidR="00EE0446" w:rsidRDefault="00EE0446" w:rsidP="00EE0446">
      <w:pPr>
        <w:spacing w:line="360" w:lineRule="auto"/>
        <w:rPr>
          <w:rFonts w:eastAsiaTheme="minorEastAsia"/>
          <w:bCs/>
          <w:iCs/>
          <w:shd w:val="clear" w:color="auto" w:fill="FFFFFF"/>
        </w:rPr>
      </w:pPr>
    </w:p>
    <w:p w14:paraId="2D7BC79A" w14:textId="77777777" w:rsidR="002E6B0B" w:rsidRDefault="002E6B0B" w:rsidP="00EE0446">
      <w:pPr>
        <w:spacing w:line="360" w:lineRule="auto"/>
        <w:rPr>
          <w:rFonts w:eastAsiaTheme="minorEastAsia"/>
          <w:bCs/>
          <w:iCs/>
          <w:shd w:val="clear" w:color="auto" w:fill="FFFFFF"/>
        </w:rPr>
      </w:pPr>
    </w:p>
    <w:p w14:paraId="00A51F64" w14:textId="77777777" w:rsidR="002E6B0B" w:rsidRDefault="002E6B0B" w:rsidP="00EE0446">
      <w:pPr>
        <w:spacing w:line="360" w:lineRule="auto"/>
        <w:rPr>
          <w:rFonts w:eastAsiaTheme="minorEastAsia"/>
          <w:bCs/>
          <w:iCs/>
          <w:shd w:val="clear" w:color="auto" w:fill="FFFFFF"/>
        </w:rPr>
      </w:pPr>
    </w:p>
    <w:p w14:paraId="6EBE7C61" w14:textId="77777777" w:rsidR="00EE0446" w:rsidRPr="000F1DC5" w:rsidRDefault="00EE0446" w:rsidP="00EE0446">
      <w:pPr>
        <w:spacing w:line="360" w:lineRule="auto"/>
        <w:rPr>
          <w:rFonts w:eastAsiaTheme="minorEastAsia"/>
          <w:b/>
          <w:color w:val="000000" w:themeColor="text1"/>
          <w:shd w:val="clear" w:color="auto" w:fill="FFFFFF"/>
        </w:rPr>
      </w:pPr>
      <w:r w:rsidRPr="000F1DC5">
        <w:rPr>
          <w:rFonts w:eastAsiaTheme="minorEastAsia"/>
          <w:b/>
          <w:color w:val="000000" w:themeColor="text1"/>
          <w:shd w:val="clear" w:color="auto" w:fill="FFFFFF"/>
        </w:rPr>
        <w:t>P</w:t>
      </w:r>
      <w:r>
        <w:rPr>
          <w:rFonts w:eastAsiaTheme="minorEastAsia"/>
          <w:b/>
          <w:color w:val="000000" w:themeColor="text1"/>
          <w:shd w:val="clear" w:color="auto" w:fill="FFFFFF"/>
        </w:rPr>
        <w:t xml:space="preserve">roposition </w:t>
      </w:r>
      <w:r w:rsidRPr="000F1DC5">
        <w:rPr>
          <w:rFonts w:eastAsiaTheme="minorEastAsia"/>
          <w:b/>
          <w:color w:val="000000" w:themeColor="text1"/>
          <w:shd w:val="clear" w:color="auto" w:fill="FFFFFF"/>
        </w:rPr>
        <w:t xml:space="preserve">2: The typical disadvantaged lawyer will overinvest despite unequal hourly-rates. </w:t>
      </w:r>
    </w:p>
    <w:p w14:paraId="00F8DBFC" w14:textId="4C924975" w:rsidR="00F71373" w:rsidRPr="00CC0077" w:rsidRDefault="00F71373" w:rsidP="00F71373">
      <w:pPr>
        <w:spacing w:line="360" w:lineRule="auto"/>
        <w:rPr>
          <w:rFonts w:eastAsiaTheme="minorEastAsia"/>
          <w:bCs/>
          <w:iCs/>
          <w:color w:val="000000" w:themeColor="text1"/>
          <w:shd w:val="clear" w:color="auto" w:fill="FFFFFF"/>
        </w:rPr>
      </w:pPr>
      <w:r>
        <w:rPr>
          <w:rFonts w:eastAsiaTheme="minorEastAsia"/>
          <w:bCs/>
          <w:iCs/>
          <w:color w:val="000000" w:themeColor="text1"/>
          <w:shd w:val="clear" w:color="auto" w:fill="FFFFFF"/>
        </w:rPr>
        <w:t>Under this proposition, lawyers earn unequal hourly-rates, specifically, L</w:t>
      </w:r>
      <w:r>
        <w:rPr>
          <w:rFonts w:eastAsiaTheme="minorEastAsia"/>
          <w:bCs/>
          <w:iCs/>
          <w:color w:val="000000" w:themeColor="text1"/>
          <w:shd w:val="clear" w:color="auto" w:fill="FFFFFF"/>
          <w:vertAlign w:val="subscript"/>
        </w:rPr>
        <w:t xml:space="preserve">1 </w:t>
      </w:r>
      <w:r>
        <w:rPr>
          <w:rFonts w:eastAsiaTheme="minorEastAsia"/>
          <w:bCs/>
          <w:iCs/>
          <w:color w:val="000000" w:themeColor="text1"/>
          <w:shd w:val="clear" w:color="auto" w:fill="FFFFFF"/>
        </w:rPr>
        <w:t>earns more per hour than L</w:t>
      </w:r>
      <w:r>
        <w:rPr>
          <w:rFonts w:eastAsiaTheme="minorEastAsia"/>
          <w:bCs/>
          <w:iCs/>
          <w:color w:val="000000" w:themeColor="text1"/>
          <w:shd w:val="clear" w:color="auto" w:fill="FFFFFF"/>
          <w:vertAlign w:val="subscript"/>
        </w:rPr>
        <w:t>2</w:t>
      </w:r>
      <w:r>
        <w:rPr>
          <w:rFonts w:eastAsiaTheme="minorEastAsia"/>
          <w:bCs/>
          <w:iCs/>
          <w:color w:val="000000" w:themeColor="text1"/>
          <w:shd w:val="clear" w:color="auto" w:fill="FFFFFF"/>
        </w:rPr>
        <w:t xml:space="preserve">. </w:t>
      </w:r>
      <w:r w:rsidR="00CC0077">
        <w:rPr>
          <w:rFonts w:eastAsiaTheme="minorEastAsia"/>
          <w:bCs/>
          <w:iCs/>
          <w:color w:val="000000" w:themeColor="text1"/>
          <w:shd w:val="clear" w:color="auto" w:fill="FFFFFF"/>
        </w:rPr>
        <w:t>However, in line with assumptions of ‘the typical lawyer’, L</w:t>
      </w:r>
      <w:r w:rsidR="00CC0077">
        <w:rPr>
          <w:rFonts w:eastAsiaTheme="minorEastAsia"/>
          <w:bCs/>
          <w:iCs/>
          <w:color w:val="000000" w:themeColor="text1"/>
          <w:shd w:val="clear" w:color="auto" w:fill="FFFFFF"/>
          <w:vertAlign w:val="subscript"/>
        </w:rPr>
        <w:t>1</w:t>
      </w:r>
      <w:r w:rsidR="00CC0077">
        <w:rPr>
          <w:rFonts w:eastAsiaTheme="minorEastAsia"/>
          <w:bCs/>
          <w:iCs/>
          <w:color w:val="000000" w:themeColor="text1"/>
          <w:shd w:val="clear" w:color="auto" w:fill="FFFFFF"/>
          <w:vertAlign w:val="subscript"/>
        </w:rPr>
        <w:t xml:space="preserve"> </w:t>
      </w:r>
      <w:r w:rsidR="00CC0077">
        <w:rPr>
          <w:rFonts w:eastAsiaTheme="minorEastAsia"/>
          <w:bCs/>
          <w:iCs/>
          <w:color w:val="000000" w:themeColor="text1"/>
          <w:shd w:val="clear" w:color="auto" w:fill="FFFFFF"/>
        </w:rPr>
        <w:t xml:space="preserve">is assumed to either source utility from or be indifferent towards advantageous inequity, </w:t>
      </w:r>
      <m:oMath>
        <m:r>
          <w:rPr>
            <w:rFonts w:ascii="Cambria Math" w:eastAsiaTheme="minorEastAsia" w:hAnsi="Cambria Math"/>
            <w:color w:val="000000" w:themeColor="text1"/>
          </w:rPr>
          <m:t>β</m:t>
        </m:r>
      </m:oMath>
      <w:r w:rsidR="00CC0077" w:rsidRPr="00A2483D">
        <w:rPr>
          <w:rFonts w:eastAsiaTheme="minorEastAsia"/>
          <w:color w:val="000000" w:themeColor="text1"/>
        </w:rPr>
        <w:t>(X</w:t>
      </w:r>
      <w:r w:rsidR="00CC0077">
        <w:rPr>
          <w:rFonts w:eastAsiaTheme="minorEastAsia"/>
          <w:color w:val="000000" w:themeColor="text1"/>
          <w:vertAlign w:val="subscript"/>
        </w:rPr>
        <w:t>L1</w:t>
      </w:r>
      <w:r w:rsidR="00CC0077" w:rsidRPr="00A2483D">
        <w:rPr>
          <w:rFonts w:eastAsiaTheme="minorEastAsia"/>
          <w:color w:val="000000" w:themeColor="text1"/>
          <w:vertAlign w:val="subscript"/>
        </w:rPr>
        <w:t xml:space="preserve">,t </w:t>
      </w:r>
      <w:r w:rsidR="00CC0077" w:rsidRPr="00A2483D">
        <w:rPr>
          <w:rFonts w:eastAsiaTheme="minorEastAsia"/>
          <w:color w:val="000000" w:themeColor="text1"/>
        </w:rPr>
        <w:t>– X</w:t>
      </w:r>
      <w:r w:rsidR="00CC0077">
        <w:rPr>
          <w:rFonts w:eastAsiaTheme="minorEastAsia"/>
          <w:color w:val="000000" w:themeColor="text1"/>
          <w:vertAlign w:val="subscript"/>
        </w:rPr>
        <w:t>L2</w:t>
      </w:r>
      <w:r w:rsidR="00CC0077" w:rsidRPr="00A2483D">
        <w:rPr>
          <w:rFonts w:eastAsiaTheme="minorEastAsia"/>
          <w:color w:val="000000" w:themeColor="text1"/>
          <w:vertAlign w:val="subscript"/>
        </w:rPr>
        <w:t>,t</w:t>
      </w:r>
      <w:r w:rsidR="00CC0077" w:rsidRPr="00A2483D">
        <w:rPr>
          <w:rFonts w:eastAsiaTheme="minorEastAsia"/>
          <w:color w:val="000000" w:themeColor="text1"/>
        </w:rPr>
        <w:t>)</w:t>
      </w:r>
      <w:r w:rsidR="00CC0077">
        <w:rPr>
          <w:rFonts w:eastAsiaTheme="minorEastAsia"/>
          <w:bCs/>
          <w:iCs/>
          <w:color w:val="000000" w:themeColor="text1"/>
          <w:shd w:val="clear" w:color="auto" w:fill="FFFFFF"/>
        </w:rPr>
        <w:t xml:space="preserve">. </w:t>
      </w:r>
      <w:r>
        <w:rPr>
          <w:rFonts w:eastAsiaTheme="minorEastAsia"/>
          <w:bCs/>
          <w:iCs/>
          <w:color w:val="000000" w:themeColor="text1"/>
          <w:shd w:val="clear" w:color="auto" w:fill="FFFFFF"/>
        </w:rPr>
        <w:t>L</w:t>
      </w:r>
      <w:r>
        <w:rPr>
          <w:rFonts w:eastAsiaTheme="minorEastAsia"/>
          <w:bCs/>
          <w:iCs/>
          <w:color w:val="000000" w:themeColor="text1"/>
          <w:shd w:val="clear" w:color="auto" w:fill="FFFFFF"/>
          <w:vertAlign w:val="subscript"/>
        </w:rPr>
        <w:t xml:space="preserve">1 </w:t>
      </w:r>
      <w:r>
        <w:rPr>
          <w:rFonts w:eastAsiaTheme="minorEastAsia"/>
          <w:bCs/>
          <w:iCs/>
          <w:color w:val="000000" w:themeColor="text1"/>
          <w:shd w:val="clear" w:color="auto" w:fill="FFFFFF"/>
        </w:rPr>
        <w:t xml:space="preserve">will </w:t>
      </w:r>
      <w:r w:rsidR="00CC0077">
        <w:rPr>
          <w:rFonts w:eastAsiaTheme="minorEastAsia"/>
          <w:bCs/>
          <w:iCs/>
          <w:color w:val="000000" w:themeColor="text1"/>
          <w:shd w:val="clear" w:color="auto" w:fill="FFFFFF"/>
        </w:rPr>
        <w:t xml:space="preserve">also </w:t>
      </w:r>
      <w:r>
        <w:rPr>
          <w:rFonts w:eastAsiaTheme="minorEastAsia"/>
          <w:bCs/>
          <w:iCs/>
          <w:color w:val="000000" w:themeColor="text1"/>
          <w:shd w:val="clear" w:color="auto" w:fill="FFFFFF"/>
        </w:rPr>
        <w:t xml:space="preserve">source disutility </w:t>
      </w:r>
      <m:oMath>
        <m:r>
          <w:rPr>
            <w:rFonts w:ascii="Cambria Math" w:eastAsiaTheme="minorEastAsia" w:hAnsi="Cambria Math"/>
            <w:color w:val="000000" w:themeColor="text1"/>
          </w:rPr>
          <m:t>ε</m:t>
        </m:r>
      </m:oMath>
      <w:r w:rsidRPr="00A2483D">
        <w:rPr>
          <w:rFonts w:eastAsiaTheme="minorEastAsia"/>
          <w:color w:val="000000" w:themeColor="text1"/>
        </w:rPr>
        <w:t>(D</w:t>
      </w:r>
      <w:r>
        <w:rPr>
          <w:rFonts w:eastAsiaTheme="minorEastAsia"/>
          <w:color w:val="000000" w:themeColor="text1"/>
          <w:vertAlign w:val="subscript"/>
        </w:rPr>
        <w:t>C1</w:t>
      </w:r>
      <w:r w:rsidRPr="00A2483D">
        <w:rPr>
          <w:rFonts w:eastAsiaTheme="minorEastAsia"/>
          <w:color w:val="000000" w:themeColor="text1"/>
          <w:vertAlign w:val="subscript"/>
        </w:rPr>
        <w:t xml:space="preserve">,t </w:t>
      </w:r>
      <w:r w:rsidRPr="00A2483D">
        <w:rPr>
          <w:rFonts w:eastAsiaTheme="minorEastAsia"/>
          <w:color w:val="000000" w:themeColor="text1"/>
        </w:rPr>
        <w:t>– D</w:t>
      </w:r>
      <w:r>
        <w:rPr>
          <w:rFonts w:eastAsiaTheme="minorEastAsia"/>
          <w:color w:val="000000" w:themeColor="text1"/>
          <w:vertAlign w:val="subscript"/>
        </w:rPr>
        <w:t>C1</w:t>
      </w:r>
      <w:r w:rsidRPr="00A2483D">
        <w:rPr>
          <w:rFonts w:eastAsiaTheme="minorEastAsia"/>
          <w:color w:val="000000" w:themeColor="text1"/>
          <w:vertAlign w:val="subscript"/>
        </w:rPr>
        <w:t>max,t</w:t>
      </w:r>
      <w:r w:rsidRPr="00A2483D">
        <w:rPr>
          <w:rFonts w:eastAsiaTheme="minorEastAsia"/>
          <w:color w:val="000000" w:themeColor="text1"/>
        </w:rPr>
        <w:t>)</w:t>
      </w:r>
      <w:r>
        <w:rPr>
          <w:rFonts w:eastAsiaTheme="minorEastAsia"/>
          <w:color w:val="000000" w:themeColor="text1"/>
        </w:rPr>
        <w:t xml:space="preserve"> should L</w:t>
      </w:r>
      <w:r>
        <w:rPr>
          <w:rFonts w:eastAsiaTheme="minorEastAsia"/>
          <w:color w:val="000000" w:themeColor="text1"/>
          <w:vertAlign w:val="subscript"/>
        </w:rPr>
        <w:t xml:space="preserve">2 </w:t>
      </w:r>
      <w:r>
        <w:rPr>
          <w:rFonts w:eastAsiaTheme="minorEastAsia"/>
          <w:color w:val="000000" w:themeColor="text1"/>
        </w:rPr>
        <w:t xml:space="preserve">take in a subsequent node. </w:t>
      </w:r>
      <w:r w:rsidR="00CC0077">
        <w:rPr>
          <w:rFonts w:eastAsiaTheme="minorEastAsia"/>
          <w:color w:val="000000" w:themeColor="text1"/>
        </w:rPr>
        <w:t>However, the ‘typical lawyer’ L</w:t>
      </w:r>
      <w:r w:rsidR="00CC0077" w:rsidRPr="00F71373">
        <w:rPr>
          <w:rFonts w:eastAsiaTheme="minorEastAsia"/>
          <w:color w:val="000000" w:themeColor="text1"/>
          <w:vertAlign w:val="subscript"/>
        </w:rPr>
        <w:t>1</w:t>
      </w:r>
      <w:r w:rsidR="00CC0077">
        <w:rPr>
          <w:rFonts w:eastAsiaTheme="minorEastAsia"/>
          <w:color w:val="000000" w:themeColor="text1"/>
        </w:rPr>
        <w:t xml:space="preserve"> is assumed to source relatively low intensity </w:t>
      </w:r>
      <m:oMath>
        <m:r>
          <w:rPr>
            <w:rFonts w:ascii="Cambria Math" w:eastAsiaTheme="minorEastAsia" w:hAnsi="Cambria Math"/>
            <w:color w:val="000000" w:themeColor="text1"/>
          </w:rPr>
          <m:t>ε</m:t>
        </m:r>
      </m:oMath>
      <w:r w:rsidR="00CC0077">
        <w:rPr>
          <w:rFonts w:eastAsiaTheme="minorEastAsia"/>
          <w:color w:val="000000" w:themeColor="text1"/>
        </w:rPr>
        <w:t xml:space="preserve"> such that </w:t>
      </w:r>
      <w:r w:rsidR="00CC0077" w:rsidRPr="008F142A">
        <w:rPr>
          <w:rFonts w:eastAsiaTheme="minorEastAsia"/>
          <w:shd w:val="clear" w:color="auto" w:fill="FFFFFF"/>
        </w:rPr>
        <w:t xml:space="preserve">0 </w:t>
      </w:r>
      <m:oMath>
        <m:r>
          <w:rPr>
            <w:rFonts w:ascii="Cambria Math" w:eastAsiaTheme="minorEastAsia" w:hAnsi="Cambria Math"/>
            <w:shd w:val="clear" w:color="auto" w:fill="FFFFFF"/>
          </w:rPr>
          <m:t>≤</m:t>
        </m:r>
      </m:oMath>
      <w:r w:rsidR="00CC0077" w:rsidRPr="008F142A">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00CC0077" w:rsidRPr="008F142A">
        <w:rPr>
          <w:rFonts w:eastAsiaTheme="minorEastAsia"/>
          <w:color w:val="000000" w:themeColor="text1"/>
        </w:rPr>
        <w:t xml:space="preserve"> </w:t>
      </w:r>
      <m:oMath>
        <m:r>
          <w:rPr>
            <w:rFonts w:ascii="Cambria Math" w:eastAsiaTheme="minorEastAsia" w:hAnsi="Cambria Math"/>
            <w:shd w:val="clear" w:color="auto" w:fill="FFFFFF"/>
          </w:rPr>
          <m:t>≤</m:t>
        </m:r>
      </m:oMath>
      <w:r w:rsidR="00CC0077" w:rsidRPr="008F142A">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sidR="00CC0077">
        <w:rPr>
          <w:rFonts w:eastAsiaTheme="minorEastAsia"/>
          <w:color w:val="000000" w:themeColor="text1"/>
        </w:rPr>
        <w:t>.</w:t>
      </w:r>
      <w:r w:rsidR="00CC0077">
        <w:rPr>
          <w:rFonts w:eastAsiaTheme="minorEastAsia"/>
          <w:color w:val="000000" w:themeColor="text1"/>
        </w:rPr>
        <w:t xml:space="preserve"> </w:t>
      </w:r>
      <w:r>
        <w:rPr>
          <w:rFonts w:eastAsiaTheme="minorEastAsia"/>
          <w:b/>
        </w:rPr>
        <w:t>UF</w:t>
      </w:r>
      <w:r w:rsidRPr="003674FB">
        <w:rPr>
          <w:rFonts w:eastAsiaTheme="minorEastAsia"/>
          <w:b/>
        </w:rPr>
        <w:t xml:space="preserve"> (6) </w:t>
      </w:r>
      <w:r w:rsidRPr="003674FB">
        <w:rPr>
          <w:rFonts w:eastAsiaTheme="minorEastAsia"/>
        </w:rPr>
        <w:t>presents an advantaged L</w:t>
      </w:r>
      <w:r>
        <w:rPr>
          <w:rFonts w:eastAsiaTheme="minorEastAsia"/>
          <w:vertAlign w:val="subscript"/>
        </w:rPr>
        <w:t>1</w:t>
      </w:r>
      <w:r w:rsidRPr="003674FB">
        <w:rPr>
          <w:rFonts w:eastAsiaTheme="minorEastAsia"/>
        </w:rPr>
        <w:t xml:space="preserve">’s utility at node t, under </w:t>
      </w:r>
      <w:r w:rsidRPr="003674FB">
        <w:rPr>
          <w:rFonts w:eastAsiaTheme="minorEastAsia"/>
          <w:b/>
        </w:rPr>
        <w:t>P</w:t>
      </w:r>
      <w:r>
        <w:rPr>
          <w:rFonts w:eastAsiaTheme="minorEastAsia"/>
          <w:b/>
        </w:rPr>
        <w:t xml:space="preserve">roposition </w:t>
      </w:r>
      <w:r w:rsidRPr="003674FB">
        <w:rPr>
          <w:rFonts w:eastAsiaTheme="minorEastAsia"/>
          <w:b/>
        </w:rPr>
        <w:t>2</w:t>
      </w:r>
      <w:r w:rsidRPr="003674FB">
        <w:rPr>
          <w:rFonts w:eastAsiaTheme="minorEastAsia"/>
        </w:rPr>
        <w:t xml:space="preserve">. </w:t>
      </w:r>
    </w:p>
    <w:p w14:paraId="630BC106" w14:textId="77777777" w:rsidR="00F82C91" w:rsidRPr="003674FB" w:rsidRDefault="00F82C91" w:rsidP="00F82C91">
      <w:pPr>
        <w:spacing w:line="360" w:lineRule="auto"/>
        <w:rPr>
          <w:rFonts w:eastAsiaTheme="minorEastAsia"/>
        </w:rPr>
      </w:pPr>
    </w:p>
    <w:p w14:paraId="54F8DD05" w14:textId="77777777" w:rsidR="00F82C91" w:rsidRDefault="00F82C91" w:rsidP="00F82C91">
      <w:pPr>
        <w:spacing w:line="360" w:lineRule="auto"/>
        <w:rPr>
          <w:rFonts w:eastAsiaTheme="minorEastAsia"/>
          <w:b/>
          <w:color w:val="000000" w:themeColor="text1"/>
        </w:rPr>
      </w:pPr>
      <w:r w:rsidRPr="00A2483D">
        <w:rPr>
          <w:rFonts w:eastAsiaTheme="minorEastAsia"/>
          <w:b/>
          <w:color w:val="000000" w:themeColor="text1"/>
          <w:shd w:val="clear" w:color="auto" w:fill="FFFFFF"/>
        </w:rPr>
        <w:t>U</w:t>
      </w:r>
      <w:r>
        <w:rPr>
          <w:rFonts w:eastAsiaTheme="minorEastAsia"/>
          <w:b/>
          <w:color w:val="000000" w:themeColor="text1"/>
          <w:vertAlign w:val="subscript"/>
        </w:rPr>
        <w:t>L1</w:t>
      </w:r>
      <w:r w:rsidRPr="00A2483D">
        <w:rPr>
          <w:rFonts w:eastAsiaTheme="minorEastAsia"/>
          <w:b/>
          <w:color w:val="000000" w:themeColor="text1"/>
          <w:vertAlign w:val="subscript"/>
        </w:rPr>
        <w:t xml:space="preserve">,t </w:t>
      </w:r>
      <w:r w:rsidRPr="00A2483D">
        <w:rPr>
          <w:rFonts w:eastAsiaTheme="minorEastAsia"/>
          <w:color w:val="000000" w:themeColor="text1"/>
        </w:rPr>
        <w:t>(X</w:t>
      </w:r>
      <w:r w:rsidRPr="00A2483D">
        <w:rPr>
          <w:rFonts w:eastAsiaTheme="minorEastAsia"/>
          <w:color w:val="000000" w:themeColor="text1"/>
          <w:vertAlign w:val="subscript"/>
        </w:rPr>
        <w:t xml:space="preserve">L1,t </w:t>
      </w:r>
      <w:r w:rsidRPr="00A2483D">
        <w:rPr>
          <w:rFonts w:eastAsiaTheme="minorEastAsia"/>
          <w:color w:val="000000" w:themeColor="text1"/>
        </w:rPr>
        <w:t>, X</w:t>
      </w:r>
      <w:r w:rsidRPr="00A2483D">
        <w:rPr>
          <w:rFonts w:eastAsiaTheme="minorEastAsia"/>
          <w:color w:val="000000" w:themeColor="text1"/>
          <w:vertAlign w:val="subscript"/>
        </w:rPr>
        <w:t>L2,t</w:t>
      </w:r>
      <w:r w:rsidRPr="00A2483D">
        <w:rPr>
          <w:rFonts w:eastAsiaTheme="minorEastAsia"/>
          <w:color w:val="000000" w:themeColor="text1"/>
        </w:rPr>
        <w:t xml:space="preserve"> ,D</w:t>
      </w:r>
      <w:r w:rsidRPr="00A2483D">
        <w:rPr>
          <w:rFonts w:eastAsiaTheme="minorEastAsia"/>
          <w:color w:val="000000" w:themeColor="text1"/>
          <w:vertAlign w:val="subscript"/>
        </w:rPr>
        <w:t>C1,t</w:t>
      </w:r>
      <w:r w:rsidRPr="00A2483D">
        <w:rPr>
          <w:rFonts w:eastAsiaTheme="minorEastAsia"/>
          <w:color w:val="000000" w:themeColor="text1"/>
        </w:rPr>
        <w:t xml:space="preserve">) = </w:t>
      </w:r>
      <w:r w:rsidRPr="00A2483D">
        <w:rPr>
          <w:color w:val="000000" w:themeColor="text1"/>
        </w:rPr>
        <w:t>X</w:t>
      </w:r>
      <w:r>
        <w:rPr>
          <w:color w:val="000000" w:themeColor="text1"/>
          <w:vertAlign w:val="subscript"/>
        </w:rPr>
        <w:t>L1</w:t>
      </w:r>
      <w:r w:rsidRPr="00A2483D">
        <w:rPr>
          <w:color w:val="000000" w:themeColor="text1"/>
          <w:vertAlign w:val="subscript"/>
        </w:rPr>
        <w:t xml:space="preserve">,t  </w:t>
      </w:r>
      <w:r w:rsidRPr="00A2483D">
        <w:rPr>
          <w:rFonts w:eastAsiaTheme="minorEastAsia"/>
          <w:color w:val="000000" w:themeColor="text1"/>
        </w:rPr>
        <w:t xml:space="preserve">+ </w:t>
      </w:r>
      <m:oMath>
        <m:r>
          <w:rPr>
            <w:rFonts w:ascii="Cambria Math" w:eastAsiaTheme="minorEastAsia" w:hAnsi="Cambria Math"/>
            <w:color w:val="000000" w:themeColor="text1"/>
          </w:rPr>
          <m:t>ε</m:t>
        </m:r>
      </m:oMath>
      <w:r w:rsidRPr="00A2483D">
        <w:rPr>
          <w:rFonts w:eastAsiaTheme="minorEastAsia"/>
          <w:color w:val="000000" w:themeColor="text1"/>
        </w:rPr>
        <w:t>(D</w:t>
      </w:r>
      <w:r>
        <w:rPr>
          <w:rFonts w:eastAsiaTheme="minorEastAsia"/>
          <w:color w:val="000000" w:themeColor="text1"/>
          <w:vertAlign w:val="subscript"/>
        </w:rPr>
        <w:t>C1</w:t>
      </w:r>
      <w:r w:rsidRPr="00A2483D">
        <w:rPr>
          <w:rFonts w:eastAsiaTheme="minorEastAsia"/>
          <w:color w:val="000000" w:themeColor="text1"/>
          <w:vertAlign w:val="subscript"/>
        </w:rPr>
        <w:t xml:space="preserve">,t </w:t>
      </w:r>
      <w:r w:rsidRPr="00A2483D">
        <w:rPr>
          <w:rFonts w:eastAsiaTheme="minorEastAsia"/>
          <w:color w:val="000000" w:themeColor="text1"/>
        </w:rPr>
        <w:t>– D</w:t>
      </w:r>
      <w:r>
        <w:rPr>
          <w:rFonts w:eastAsiaTheme="minorEastAsia"/>
          <w:color w:val="000000" w:themeColor="text1"/>
          <w:vertAlign w:val="subscript"/>
        </w:rPr>
        <w:t>C1</w:t>
      </w:r>
      <w:r w:rsidRPr="00A2483D">
        <w:rPr>
          <w:rFonts w:eastAsiaTheme="minorEastAsia"/>
          <w:color w:val="000000" w:themeColor="text1"/>
          <w:vertAlign w:val="subscript"/>
        </w:rPr>
        <w:t>max,t</w:t>
      </w:r>
      <w:r w:rsidRPr="00A2483D">
        <w:rPr>
          <w:rFonts w:eastAsiaTheme="minorEastAsia"/>
          <w:color w:val="000000" w:themeColor="text1"/>
        </w:rPr>
        <w:t xml:space="preserve">) </w:t>
      </w:r>
      <m:oMath>
        <m:r>
          <w:rPr>
            <w:rFonts w:ascii="Cambria Math" w:eastAsiaTheme="minorEastAsia" w:hAnsi="Cambria Math"/>
            <w:color w:val="000000" w:themeColor="text1"/>
          </w:rPr>
          <m:t>+</m:t>
        </m:r>
      </m:oMath>
      <w:r w:rsidRPr="00A2483D">
        <w:rPr>
          <w:rFonts w:eastAsiaTheme="minorEastAsia"/>
          <w:color w:val="000000" w:themeColor="text1"/>
        </w:rPr>
        <w:t xml:space="preserve"> </w:t>
      </w:r>
      <m:oMath>
        <m:r>
          <w:rPr>
            <w:rFonts w:ascii="Cambria Math" w:eastAsiaTheme="minorEastAsia" w:hAnsi="Cambria Math"/>
            <w:color w:val="000000" w:themeColor="text1"/>
          </w:rPr>
          <m:t>β</m:t>
        </m:r>
      </m:oMath>
      <w:r w:rsidRPr="00A2483D">
        <w:rPr>
          <w:rFonts w:eastAsiaTheme="minorEastAsia"/>
          <w:color w:val="000000" w:themeColor="text1"/>
        </w:rPr>
        <w:t>(X</w:t>
      </w:r>
      <w:r>
        <w:rPr>
          <w:rFonts w:eastAsiaTheme="minorEastAsia"/>
          <w:color w:val="000000" w:themeColor="text1"/>
          <w:vertAlign w:val="subscript"/>
        </w:rPr>
        <w:t>L1</w:t>
      </w:r>
      <w:r w:rsidRPr="00A2483D">
        <w:rPr>
          <w:rFonts w:eastAsiaTheme="minorEastAsia"/>
          <w:color w:val="000000" w:themeColor="text1"/>
          <w:vertAlign w:val="subscript"/>
        </w:rPr>
        <w:t xml:space="preserve">,t </w:t>
      </w:r>
      <w:r w:rsidRPr="00A2483D">
        <w:rPr>
          <w:rFonts w:eastAsiaTheme="minorEastAsia"/>
          <w:color w:val="000000" w:themeColor="text1"/>
        </w:rPr>
        <w:t>– X</w:t>
      </w:r>
      <w:r>
        <w:rPr>
          <w:rFonts w:eastAsiaTheme="minorEastAsia"/>
          <w:color w:val="000000" w:themeColor="text1"/>
          <w:vertAlign w:val="subscript"/>
        </w:rPr>
        <w:t>L2</w:t>
      </w:r>
      <w:r w:rsidRPr="00A2483D">
        <w:rPr>
          <w:rFonts w:eastAsiaTheme="minorEastAsia"/>
          <w:color w:val="000000" w:themeColor="text1"/>
          <w:vertAlign w:val="subscript"/>
        </w:rPr>
        <w:t>,t</w:t>
      </w:r>
      <w:r w:rsidRPr="00A2483D">
        <w:rPr>
          <w:rFonts w:eastAsiaTheme="minorEastAsia"/>
          <w:color w:val="000000" w:themeColor="text1"/>
        </w:rPr>
        <w:t>)</w:t>
      </w:r>
      <w:r w:rsidRPr="00A2483D">
        <w:rPr>
          <w:rFonts w:eastAsiaTheme="minorEastAsia"/>
          <w:color w:val="000000" w:themeColor="text1"/>
        </w:rPr>
        <w:tab/>
      </w:r>
      <w:r w:rsidRPr="00A2483D">
        <w:rPr>
          <w:rFonts w:eastAsiaTheme="minorEastAsia"/>
          <w:color w:val="000000" w:themeColor="text1"/>
        </w:rPr>
        <w:tab/>
      </w:r>
      <w:r>
        <w:rPr>
          <w:rFonts w:eastAsiaTheme="minorEastAsia"/>
          <w:color w:val="000000" w:themeColor="text1"/>
        </w:rPr>
        <w:tab/>
        <w:t xml:space="preserve"> </w:t>
      </w:r>
      <w:r w:rsidRPr="00A2483D">
        <w:rPr>
          <w:rFonts w:eastAsiaTheme="minorEastAsia"/>
          <w:b/>
          <w:color w:val="000000" w:themeColor="text1"/>
        </w:rPr>
        <w:t>(6)</w:t>
      </w:r>
    </w:p>
    <w:p w14:paraId="6A43DA7C" w14:textId="77777777" w:rsidR="00F82C91" w:rsidRPr="00A2483D" w:rsidRDefault="00F82C91" w:rsidP="00F82C91">
      <w:pPr>
        <w:spacing w:line="360" w:lineRule="auto"/>
        <w:rPr>
          <w:rFonts w:eastAsiaTheme="minorEastAsia"/>
          <w:b/>
          <w:color w:val="000000" w:themeColor="text1"/>
        </w:rPr>
      </w:pPr>
    </w:p>
    <w:p w14:paraId="4821C6CD" w14:textId="77777777" w:rsidR="00F82C91" w:rsidRPr="00A2483D" w:rsidRDefault="00F82C91" w:rsidP="00F82C91">
      <w:pPr>
        <w:spacing w:line="360" w:lineRule="auto"/>
        <w:rPr>
          <w:rFonts w:eastAsiaTheme="minorEastAsia"/>
          <w:color w:val="000000" w:themeColor="text1"/>
          <w:sz w:val="22"/>
          <w:szCs w:val="22"/>
        </w:rPr>
      </w:pPr>
      <m:oMath>
        <m: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shd w:val="clear" w:color="auto" w:fill="FFFFFF"/>
        </w:rPr>
        <w:t>U</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w:t>
      </w:r>
      <w:r w:rsidRPr="00A2483D">
        <w:rPr>
          <w:rFonts w:eastAsiaTheme="minorEastAsia"/>
          <w:color w:val="000000" w:themeColor="text1"/>
          <w:sz w:val="22"/>
          <w:szCs w:val="22"/>
          <w:shd w:val="clear" w:color="auto" w:fill="FFFFFF"/>
        </w:rPr>
        <w:t xml:space="preserve"> U</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,t</w:t>
      </w:r>
      <w:r w:rsidRPr="00A2483D">
        <w:rPr>
          <w:rFonts w:eastAsiaTheme="minorEastAsia"/>
          <w:color w:val="000000" w:themeColor="text1"/>
          <w:sz w:val="22"/>
          <w:szCs w:val="22"/>
        </w:rPr>
        <w:t xml:space="preserve"> (X</w:t>
      </w:r>
      <w:r w:rsidRPr="00A2483D">
        <w:rPr>
          <w:rFonts w:eastAsiaTheme="minorEastAsia"/>
          <w:color w:val="000000" w:themeColor="text1"/>
          <w:sz w:val="22"/>
          <w:szCs w:val="22"/>
          <w:vertAlign w:val="subscript"/>
        </w:rPr>
        <w:t xml:space="preserve">L1,t </w:t>
      </w:r>
      <w:r w:rsidRPr="00A2483D">
        <w:rPr>
          <w:rFonts w:eastAsiaTheme="minorEastAsia"/>
          <w:color w:val="000000" w:themeColor="text1"/>
          <w:sz w:val="22"/>
          <w:szCs w:val="22"/>
        </w:rPr>
        <w:t>, X</w:t>
      </w:r>
      <w:r w:rsidRPr="00A2483D">
        <w:rPr>
          <w:rFonts w:eastAsiaTheme="minorEastAsia"/>
          <w:color w:val="000000" w:themeColor="text1"/>
          <w:sz w:val="22"/>
          <w:szCs w:val="22"/>
          <w:vertAlign w:val="subscript"/>
        </w:rPr>
        <w:t>L2,t</w:t>
      </w:r>
      <w:r w:rsidRPr="00A2483D">
        <w:rPr>
          <w:rFonts w:eastAsiaTheme="minorEastAsia"/>
          <w:color w:val="000000" w:themeColor="text1"/>
          <w:sz w:val="22"/>
          <w:szCs w:val="22"/>
        </w:rPr>
        <w:t xml:space="preserve"> , D</w:t>
      </w:r>
      <w:r w:rsidRPr="00A2483D">
        <w:rPr>
          <w:rFonts w:eastAsiaTheme="minorEastAsia"/>
          <w:color w:val="000000" w:themeColor="text1"/>
          <w:sz w:val="22"/>
          <w:szCs w:val="22"/>
          <w:vertAlign w:val="subscript"/>
        </w:rPr>
        <w:t>C1,t</w:t>
      </w:r>
      <w:r w:rsidRPr="00A2483D">
        <w:rPr>
          <w:rFonts w:eastAsiaTheme="minorEastAsia"/>
          <w:color w:val="000000" w:themeColor="text1"/>
          <w:sz w:val="22"/>
          <w:szCs w:val="22"/>
        </w:rPr>
        <w:t xml:space="preserve">) - </w:t>
      </w:r>
      <w:r w:rsidRPr="00A2483D">
        <w:rPr>
          <w:rFonts w:eastAsiaTheme="minorEastAsia"/>
          <w:color w:val="000000" w:themeColor="text1"/>
          <w:sz w:val="22"/>
          <w:szCs w:val="22"/>
          <w:shd w:val="clear" w:color="auto" w:fill="FFFFFF"/>
        </w:rPr>
        <w:t>U</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,t</w:t>
      </w:r>
      <w:r>
        <w:rPr>
          <w:rFonts w:eastAsiaTheme="minorEastAsia"/>
          <w:color w:val="000000" w:themeColor="text1"/>
          <w:sz w:val="22"/>
          <w:szCs w:val="22"/>
          <w:vertAlign w:val="subscript"/>
        </w:rPr>
        <w:t>-1</w:t>
      </w:r>
      <w:r w:rsidRPr="00A2483D">
        <w:rPr>
          <w:rFonts w:eastAsiaTheme="minorEastAsia"/>
          <w:color w:val="000000" w:themeColor="text1"/>
          <w:sz w:val="22"/>
          <w:szCs w:val="22"/>
          <w:vertAlign w:val="subscript"/>
        </w:rPr>
        <w:t xml:space="preserve"> </w:t>
      </w:r>
      <w:r w:rsidRPr="00A2483D">
        <w:rPr>
          <w:rFonts w:eastAsiaTheme="minorEastAsia"/>
          <w:color w:val="000000" w:themeColor="text1"/>
          <w:sz w:val="22"/>
          <w:szCs w:val="22"/>
        </w:rPr>
        <w:t>(X</w:t>
      </w:r>
      <w:r w:rsidRPr="00A2483D">
        <w:rPr>
          <w:rFonts w:eastAsiaTheme="minorEastAsia"/>
          <w:color w:val="000000" w:themeColor="text1"/>
          <w:sz w:val="22"/>
          <w:szCs w:val="22"/>
          <w:vertAlign w:val="subscript"/>
        </w:rPr>
        <w:t xml:space="preserve">L1,t-1 </w:t>
      </w:r>
      <w:r w:rsidRPr="00A2483D">
        <w:rPr>
          <w:rFonts w:eastAsiaTheme="minorEastAsia"/>
          <w:color w:val="000000" w:themeColor="text1"/>
          <w:sz w:val="22"/>
          <w:szCs w:val="22"/>
        </w:rPr>
        <w:t>, X</w:t>
      </w:r>
      <w:r w:rsidRPr="00A2483D">
        <w:rPr>
          <w:rFonts w:eastAsiaTheme="minorEastAsia"/>
          <w:color w:val="000000" w:themeColor="text1"/>
          <w:sz w:val="22"/>
          <w:szCs w:val="22"/>
          <w:vertAlign w:val="subscript"/>
        </w:rPr>
        <w:t>L2,t-1 ,</w:t>
      </w:r>
      <w:r w:rsidRPr="00A2483D">
        <w:rPr>
          <w:rFonts w:eastAsiaTheme="minorEastAsia"/>
          <w:color w:val="000000" w:themeColor="text1"/>
          <w:sz w:val="22"/>
          <w:szCs w:val="22"/>
        </w:rPr>
        <w:t xml:space="preserve"> D</w:t>
      </w:r>
      <w:r w:rsidRPr="00A2483D">
        <w:rPr>
          <w:rFonts w:eastAsiaTheme="minorEastAsia"/>
          <w:color w:val="000000" w:themeColor="text1"/>
          <w:sz w:val="22"/>
          <w:szCs w:val="22"/>
          <w:vertAlign w:val="subscript"/>
        </w:rPr>
        <w:t>C1,t</w:t>
      </w:r>
      <w:r w:rsidRPr="00A2483D">
        <w:rPr>
          <w:rFonts w:eastAsiaTheme="minorEastAsia"/>
          <w:color w:val="000000" w:themeColor="text1"/>
          <w:sz w:val="22"/>
          <w:szCs w:val="22"/>
        </w:rPr>
        <w:t>)</w:t>
      </w:r>
    </w:p>
    <w:p w14:paraId="52D474B2" w14:textId="77777777" w:rsidR="00F82C91" w:rsidRPr="00A2483D" w:rsidRDefault="00F82C91" w:rsidP="00F82C91">
      <w:pPr>
        <w:spacing w:line="360" w:lineRule="auto"/>
        <w:rPr>
          <w:color w:val="000000" w:themeColor="text1"/>
          <w:sz w:val="22"/>
          <w:szCs w:val="22"/>
          <w:vertAlign w:val="subscript"/>
        </w:rPr>
      </w:pPr>
      <m:oMath>
        <m:r>
          <w:rPr>
            <w:rFonts w:ascii="Cambria Math" w:eastAsiaTheme="minorEastAsia" w:hAnsi="Cambria Math"/>
            <w:color w:val="000000" w:themeColor="text1"/>
            <w:sz w:val="22"/>
            <w:szCs w:val="22"/>
          </w:rPr>
          <m:t>∆</m:t>
        </m:r>
      </m:oMath>
      <w:r w:rsidRPr="00A2483D">
        <w:rPr>
          <w:color w:val="000000" w:themeColor="text1"/>
          <w:sz w:val="22"/>
          <w:szCs w:val="22"/>
        </w:rPr>
        <w:t>X</w:t>
      </w:r>
      <w:r>
        <w:rPr>
          <w:color w:val="000000" w:themeColor="text1"/>
          <w:sz w:val="22"/>
          <w:szCs w:val="22"/>
          <w:vertAlign w:val="subscript"/>
        </w:rPr>
        <w:t>L1</w:t>
      </w:r>
      <w:r w:rsidRPr="00A2483D">
        <w:rPr>
          <w:color w:val="000000" w:themeColor="text1"/>
          <w:sz w:val="22"/>
          <w:szCs w:val="22"/>
          <w:vertAlign w:val="subscript"/>
        </w:rPr>
        <w:t xml:space="preserve">,t  </w:t>
      </w:r>
      <w:r w:rsidRPr="00A2483D">
        <w:rPr>
          <w:rFonts w:eastAsiaTheme="minorEastAsia"/>
          <w:b/>
          <w:color w:val="000000" w:themeColor="text1"/>
          <w:sz w:val="22"/>
          <w:szCs w:val="22"/>
        </w:rPr>
        <w:t xml:space="preserve">= </w:t>
      </w:r>
      <w:r w:rsidRPr="00A2483D">
        <w:rPr>
          <w:color w:val="000000" w:themeColor="text1"/>
          <w:sz w:val="22"/>
          <w:szCs w:val="22"/>
        </w:rPr>
        <w:t>X</w:t>
      </w:r>
      <w:r>
        <w:rPr>
          <w:color w:val="000000" w:themeColor="text1"/>
          <w:sz w:val="22"/>
          <w:szCs w:val="22"/>
          <w:vertAlign w:val="subscript"/>
        </w:rPr>
        <w:t>L1</w:t>
      </w:r>
      <w:r w:rsidRPr="00A2483D">
        <w:rPr>
          <w:color w:val="000000" w:themeColor="text1"/>
          <w:sz w:val="22"/>
          <w:szCs w:val="22"/>
          <w:vertAlign w:val="subscript"/>
        </w:rPr>
        <w:t xml:space="preserve">,t  </w:t>
      </w:r>
      <w:r w:rsidRPr="00A2483D">
        <w:rPr>
          <w:color w:val="000000" w:themeColor="text1"/>
          <w:sz w:val="22"/>
          <w:szCs w:val="22"/>
        </w:rPr>
        <w:t>- X</w:t>
      </w:r>
      <w:r>
        <w:rPr>
          <w:color w:val="000000" w:themeColor="text1"/>
          <w:sz w:val="22"/>
          <w:szCs w:val="22"/>
          <w:vertAlign w:val="subscript"/>
        </w:rPr>
        <w:t>L1</w:t>
      </w:r>
      <w:r w:rsidRPr="00A2483D">
        <w:rPr>
          <w:color w:val="000000" w:themeColor="text1"/>
          <w:sz w:val="22"/>
          <w:szCs w:val="22"/>
          <w:vertAlign w:val="subscript"/>
        </w:rPr>
        <w:t>,t-1</w:t>
      </w:r>
    </w:p>
    <w:p w14:paraId="3B8DC2C8" w14:textId="77777777" w:rsidR="00F82C91" w:rsidRPr="00A2483D" w:rsidRDefault="00F82C91" w:rsidP="00F82C91">
      <w:pPr>
        <w:spacing w:line="360" w:lineRule="auto"/>
        <w:rPr>
          <w:color w:val="000000" w:themeColor="text1"/>
          <w:sz w:val="22"/>
          <w:szCs w:val="22"/>
        </w:rPr>
      </w:pPr>
      <m:oMath>
        <m:r>
          <m:rPr>
            <m:sty m:val="p"/>
          </m:rPr>
          <w:rPr>
            <w:rFonts w:ascii="Cambria Math" w:eastAsiaTheme="minorEastAsia" w:hAnsi="Cambria Math"/>
            <w:color w:val="000000" w:themeColor="text1"/>
            <w:sz w:val="22"/>
            <w:szCs w:val="22"/>
          </w:rPr>
          <m:t>ε(∆</m:t>
        </m:r>
      </m:oMath>
      <w:r w:rsidRPr="00A2483D">
        <w:rPr>
          <w:rFonts w:eastAsiaTheme="minorEastAsia"/>
          <w:color w:val="000000" w:themeColor="text1"/>
          <w:sz w:val="22"/>
          <w:szCs w:val="22"/>
        </w:rPr>
        <w:t>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rPr>
        <w:t>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max,t</w:t>
      </w:r>
      <w:r w:rsidRPr="00A2483D">
        <w:rPr>
          <w:rFonts w:eastAsiaTheme="minorEastAsia"/>
          <w:color w:val="000000" w:themeColor="text1"/>
          <w:sz w:val="22"/>
          <w:szCs w:val="22"/>
        </w:rPr>
        <w:t xml:space="preserve">) = </w:t>
      </w:r>
      <m:oMath>
        <m:r>
          <m:rPr>
            <m:sty m:val="p"/>
          </m:rPr>
          <w:rPr>
            <w:rFonts w:ascii="Cambria Math" w:eastAsiaTheme="minorEastAsia" w:hAnsi="Cambria Math"/>
            <w:color w:val="000000" w:themeColor="text1"/>
            <w:sz w:val="22"/>
            <w:szCs w:val="22"/>
          </w:rPr>
          <m:t>ε</m:t>
        </m:r>
      </m:oMath>
      <w:r w:rsidRPr="00A2483D">
        <w:rPr>
          <w:rFonts w:eastAsiaTheme="minorEastAsia"/>
          <w:color w:val="000000" w:themeColor="text1"/>
          <w:sz w:val="22"/>
          <w:szCs w:val="22"/>
        </w:rPr>
        <w:t>((D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,t-1</w:t>
      </w:r>
      <w:r w:rsidRPr="00A2483D">
        <w:rPr>
          <w:rFonts w:eastAsiaTheme="minorEastAsia"/>
          <w:color w:val="000000" w:themeColor="text1"/>
          <w:sz w:val="22"/>
          <w:szCs w:val="22"/>
        </w:rPr>
        <w:t>) – (D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max,t</w:t>
      </w:r>
      <w:r w:rsidRPr="00A2483D">
        <w:rPr>
          <w:rFonts w:eastAsiaTheme="minorEastAsia"/>
          <w:color w:val="000000" w:themeColor="text1"/>
          <w:sz w:val="22"/>
          <w:szCs w:val="22"/>
        </w:rPr>
        <w:t xml:space="preserve"> - 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max,t-1</w:t>
      </w:r>
      <w:r w:rsidRPr="00A2483D">
        <w:rPr>
          <w:rFonts w:eastAsiaTheme="minorEastAsia"/>
          <w:color w:val="000000" w:themeColor="text1"/>
          <w:sz w:val="22"/>
          <w:szCs w:val="22"/>
        </w:rPr>
        <w:t>))</w:t>
      </w:r>
      <w:r>
        <w:rPr>
          <w:rFonts w:eastAsiaTheme="minorEastAsia"/>
          <w:color w:val="000000" w:themeColor="text1"/>
          <w:sz w:val="22"/>
          <w:szCs w:val="22"/>
        </w:rPr>
        <w:t xml:space="preserve"> </w:t>
      </w:r>
      <w:r w:rsidRPr="00A2483D">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ε</m:t>
        </m:r>
      </m:oMath>
      <w:r w:rsidRPr="00A2483D">
        <w:rPr>
          <w:rFonts w:eastAsiaTheme="minorEastAsia"/>
          <w:color w:val="000000" w:themeColor="text1"/>
          <w:sz w:val="22"/>
          <w:szCs w:val="22"/>
        </w:rPr>
        <w:t>(D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,t-1</w:t>
      </w:r>
      <w:r w:rsidRPr="00A2483D">
        <w:rPr>
          <w:rFonts w:eastAsiaTheme="minorEastAsia"/>
          <w:color w:val="000000" w:themeColor="text1"/>
          <w:sz w:val="22"/>
          <w:szCs w:val="22"/>
        </w:rPr>
        <w:t>)</w:t>
      </w:r>
    </w:p>
    <w:p w14:paraId="48763EA2" w14:textId="77777777" w:rsidR="00F82C91" w:rsidRPr="00A2483D" w:rsidRDefault="00F82C91" w:rsidP="00F82C91">
      <w:pPr>
        <w:spacing w:line="360" w:lineRule="auto"/>
        <w:rPr>
          <w:color w:val="000000" w:themeColor="text1"/>
          <w:sz w:val="22"/>
          <w:szCs w:val="22"/>
        </w:rPr>
      </w:pPr>
      <m:oMath>
        <m:r>
          <w:rPr>
            <w:rFonts w:ascii="Cambria Math" w:eastAsiaTheme="minorEastAsia" w:hAnsi="Cambria Math"/>
            <w:color w:val="000000" w:themeColor="text1"/>
            <w:sz w:val="22"/>
            <w:szCs w:val="22"/>
          </w:rPr>
          <m:t>β(</m:t>
        </m:r>
        <m:r>
          <m:rPr>
            <m:sty m:val="p"/>
          </m:rP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rPr>
        <w:t>X</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rPr>
        <w:t>X</w:t>
      </w:r>
      <w:r>
        <w:rPr>
          <w:rFonts w:eastAsiaTheme="minorEastAsia"/>
          <w:color w:val="000000" w:themeColor="text1"/>
          <w:sz w:val="22"/>
          <w:szCs w:val="22"/>
          <w:vertAlign w:val="subscript"/>
        </w:rPr>
        <w:t>L2</w:t>
      </w:r>
      <w:r w:rsidRPr="00A2483D">
        <w:rPr>
          <w:rFonts w:eastAsiaTheme="minorEastAsia"/>
          <w:color w:val="000000" w:themeColor="text1"/>
          <w:sz w:val="22"/>
          <w:szCs w:val="22"/>
          <w:vertAlign w:val="subscript"/>
        </w:rPr>
        <w:t>,t</w:t>
      </w:r>
      <w:r w:rsidRPr="00A2483D">
        <w:rPr>
          <w:rFonts w:eastAsiaTheme="minorEastAsia"/>
          <w:color w:val="000000" w:themeColor="text1"/>
          <w:sz w:val="22"/>
          <w:szCs w:val="22"/>
        </w:rPr>
        <w:t xml:space="preserve">) = </w:t>
      </w:r>
      <m:oMath>
        <m:r>
          <w:rPr>
            <w:rFonts w:ascii="Cambria Math" w:eastAsiaTheme="minorEastAsia" w:hAnsi="Cambria Math"/>
            <w:color w:val="000000" w:themeColor="text1"/>
            <w:sz w:val="22"/>
            <w:szCs w:val="22"/>
          </w:rPr>
          <m:t>β</m:t>
        </m:r>
      </m:oMath>
      <w:r w:rsidRPr="00A2483D">
        <w:rPr>
          <w:rFonts w:eastAsiaTheme="minorEastAsia"/>
          <w:color w:val="000000" w:themeColor="text1"/>
          <w:sz w:val="22"/>
          <w:szCs w:val="22"/>
        </w:rPr>
        <w:t>((X</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X</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,t-1</w:t>
      </w:r>
      <w:r w:rsidRPr="00A2483D">
        <w:rPr>
          <w:rFonts w:eastAsiaTheme="minorEastAsia"/>
          <w:color w:val="000000" w:themeColor="text1"/>
          <w:sz w:val="22"/>
          <w:szCs w:val="22"/>
        </w:rPr>
        <w:t>) – (X</w:t>
      </w:r>
      <w:r>
        <w:rPr>
          <w:rFonts w:eastAsiaTheme="minorEastAsia"/>
          <w:color w:val="000000" w:themeColor="text1"/>
          <w:sz w:val="22"/>
          <w:szCs w:val="22"/>
          <w:vertAlign w:val="subscript"/>
        </w:rPr>
        <w:t>L2</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X</w:t>
      </w:r>
      <w:r>
        <w:rPr>
          <w:rFonts w:eastAsiaTheme="minorEastAsia"/>
          <w:color w:val="000000" w:themeColor="text1"/>
          <w:sz w:val="22"/>
          <w:szCs w:val="22"/>
          <w:vertAlign w:val="subscript"/>
        </w:rPr>
        <w:t>L2</w:t>
      </w:r>
      <w:r w:rsidRPr="00A2483D">
        <w:rPr>
          <w:rFonts w:eastAsiaTheme="minorEastAsia"/>
          <w:color w:val="000000" w:themeColor="text1"/>
          <w:sz w:val="22"/>
          <w:szCs w:val="22"/>
          <w:vertAlign w:val="subscript"/>
        </w:rPr>
        <w:t>,t-1</w:t>
      </w:r>
      <w:r w:rsidRPr="00A2483D">
        <w:rPr>
          <w:rFonts w:eastAsiaTheme="minorEastAsia"/>
          <w:color w:val="000000" w:themeColor="text1"/>
          <w:sz w:val="22"/>
          <w:szCs w:val="22"/>
        </w:rPr>
        <w:t>))</w:t>
      </w:r>
    </w:p>
    <w:p w14:paraId="7B4DADBB" w14:textId="77777777" w:rsidR="00F82C91" w:rsidRPr="00A2483D" w:rsidRDefault="00F82C91" w:rsidP="00F82C91">
      <w:pPr>
        <w:spacing w:line="360" w:lineRule="auto"/>
        <w:rPr>
          <w:color w:val="000000" w:themeColor="text1"/>
          <w:sz w:val="22"/>
          <w:szCs w:val="22"/>
          <w:vertAlign w:val="subscript"/>
        </w:rPr>
      </w:pPr>
    </w:p>
    <w:p w14:paraId="6E0ED9D0" w14:textId="77777777" w:rsidR="00F82C91" w:rsidRDefault="00F82C91" w:rsidP="00F82C91">
      <w:pPr>
        <w:spacing w:line="360" w:lineRule="auto"/>
        <w:rPr>
          <w:rFonts w:eastAsiaTheme="minorEastAsia"/>
          <w:color w:val="000000" w:themeColor="text1"/>
          <w:sz w:val="22"/>
          <w:szCs w:val="22"/>
          <w:shd w:val="clear" w:color="auto" w:fill="FFFFFF"/>
        </w:rPr>
      </w:pPr>
      <w:r w:rsidRPr="00A2483D">
        <w:rPr>
          <w:rFonts w:eastAsiaTheme="minorEastAsia"/>
          <w:color w:val="000000" w:themeColor="text1"/>
          <w:sz w:val="22"/>
          <w:szCs w:val="22"/>
        </w:rPr>
        <w:t xml:space="preserve">For </w:t>
      </w:r>
      <w:r>
        <w:rPr>
          <w:rFonts w:eastAsiaTheme="minorEastAsia"/>
          <w:color w:val="000000" w:themeColor="text1"/>
          <w:sz w:val="22"/>
          <w:szCs w:val="22"/>
        </w:rPr>
        <w:t>the risk-averse L</w:t>
      </w:r>
      <w:r w:rsidRPr="00BF1209">
        <w:rPr>
          <w:rFonts w:eastAsiaTheme="minorEastAsia"/>
          <w:color w:val="000000" w:themeColor="text1"/>
          <w:sz w:val="22"/>
          <w:szCs w:val="22"/>
          <w:vertAlign w:val="subscript"/>
        </w:rPr>
        <w:t>1</w:t>
      </w:r>
      <w:r>
        <w:rPr>
          <w:rFonts w:eastAsiaTheme="minorEastAsia"/>
          <w:color w:val="000000" w:themeColor="text1"/>
          <w:sz w:val="22"/>
          <w:szCs w:val="22"/>
        </w:rPr>
        <w:t xml:space="preserve"> to pass it must hold that </w:t>
      </w:r>
      <m:oMath>
        <m: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shd w:val="clear" w:color="auto" w:fill="FFFFFF"/>
        </w:rPr>
        <w:t>U</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 xml:space="preserve">,t </w:t>
      </w:r>
      <m:oMath>
        <m:r>
          <w:rPr>
            <w:rFonts w:ascii="Cambria Math" w:eastAsiaTheme="minorEastAsia" w:hAnsi="Cambria Math"/>
            <w:color w:val="000000" w:themeColor="text1"/>
            <w:sz w:val="22"/>
            <w:szCs w:val="22"/>
            <w:shd w:val="clear" w:color="auto" w:fill="FFFFFF"/>
          </w:rPr>
          <m:t>≥</m:t>
        </m:r>
      </m:oMath>
      <w:r>
        <w:rPr>
          <w:rFonts w:eastAsiaTheme="minorEastAsia"/>
          <w:color w:val="000000" w:themeColor="text1"/>
          <w:sz w:val="22"/>
          <w:szCs w:val="22"/>
          <w:shd w:val="clear" w:color="auto" w:fill="FFFFFF"/>
        </w:rPr>
        <w:t xml:space="preserve"> 0 even if a rival L</w:t>
      </w:r>
      <w:r>
        <w:rPr>
          <w:rFonts w:eastAsiaTheme="minorEastAsia"/>
          <w:color w:val="000000" w:themeColor="text1"/>
          <w:sz w:val="22"/>
          <w:szCs w:val="22"/>
          <w:shd w:val="clear" w:color="auto" w:fill="FFFFFF"/>
          <w:vertAlign w:val="subscript"/>
        </w:rPr>
        <w:t xml:space="preserve">2 </w:t>
      </w:r>
      <w:r>
        <w:rPr>
          <w:rFonts w:eastAsiaTheme="minorEastAsia"/>
          <w:color w:val="000000" w:themeColor="text1"/>
          <w:sz w:val="22"/>
          <w:szCs w:val="22"/>
          <w:shd w:val="clear" w:color="auto" w:fill="FFFFFF"/>
        </w:rPr>
        <w:t>‘takes’ in a subsequent node,</w:t>
      </w:r>
      <w:r w:rsidRPr="00A2483D">
        <w:rPr>
          <w:rFonts w:eastAsiaTheme="minorEastAsia"/>
          <w:color w:val="000000" w:themeColor="text1"/>
          <w:sz w:val="22"/>
          <w:szCs w:val="22"/>
          <w:shd w:val="clear" w:color="auto" w:fill="FFFFFF"/>
        </w:rPr>
        <w:t xml:space="preserve"> that is: </w:t>
      </w:r>
      <m:oMath>
        <m:r>
          <w:rPr>
            <w:rFonts w:ascii="Cambria Math" w:eastAsiaTheme="minorEastAsia" w:hAnsi="Cambria Math"/>
            <w:color w:val="000000" w:themeColor="text1"/>
            <w:sz w:val="22"/>
            <w:szCs w:val="22"/>
          </w:rPr>
          <m:t>∆</m:t>
        </m:r>
      </m:oMath>
      <w:r w:rsidRPr="00A2483D">
        <w:rPr>
          <w:color w:val="000000" w:themeColor="text1"/>
          <w:sz w:val="22"/>
          <w:szCs w:val="22"/>
        </w:rPr>
        <w:t>X</w:t>
      </w:r>
      <w:r>
        <w:rPr>
          <w:color w:val="000000" w:themeColor="text1"/>
          <w:sz w:val="22"/>
          <w:szCs w:val="22"/>
          <w:vertAlign w:val="subscript"/>
        </w:rPr>
        <w:t>L1</w:t>
      </w:r>
      <w:r w:rsidRPr="00A2483D">
        <w:rPr>
          <w:color w:val="000000" w:themeColor="text1"/>
          <w:sz w:val="22"/>
          <w:szCs w:val="22"/>
          <w:vertAlign w:val="subscript"/>
        </w:rPr>
        <w:t xml:space="preserve">,t  </w:t>
      </w:r>
      <w:r w:rsidRPr="00A2483D">
        <w:rPr>
          <w:color w:val="000000" w:themeColor="text1"/>
          <w:sz w:val="22"/>
          <w:szCs w:val="22"/>
        </w:rPr>
        <w:t xml:space="preserve">+ </w:t>
      </w:r>
      <m:oMath>
        <m:r>
          <m:rPr>
            <m:sty m:val="p"/>
          </m:rPr>
          <w:rPr>
            <w:rFonts w:ascii="Cambria Math" w:eastAsiaTheme="minorEastAsia" w:hAnsi="Cambria Math"/>
            <w:color w:val="000000" w:themeColor="text1"/>
            <w:sz w:val="22"/>
            <w:szCs w:val="22"/>
          </w:rPr>
          <m:t>ε(∆</m:t>
        </m:r>
      </m:oMath>
      <w:r w:rsidRPr="00A2483D">
        <w:rPr>
          <w:rFonts w:eastAsiaTheme="minorEastAsia"/>
          <w:color w:val="000000" w:themeColor="text1"/>
          <w:sz w:val="22"/>
          <w:szCs w:val="22"/>
        </w:rPr>
        <w:t>D</w:t>
      </w:r>
      <w:r>
        <w:rPr>
          <w:rFonts w:eastAsiaTheme="minorEastAsia"/>
          <w:color w:val="000000" w:themeColor="text1"/>
          <w:sz w:val="22"/>
          <w:szCs w:val="22"/>
          <w:vertAlign w:val="subscript"/>
        </w:rPr>
        <w:t>C1</w:t>
      </w:r>
      <w:r w:rsidRPr="00A2483D">
        <w:rPr>
          <w:rFonts w:eastAsiaTheme="minorEastAsia"/>
          <w:color w:val="000000" w:themeColor="text1"/>
          <w:sz w:val="22"/>
          <w:szCs w:val="22"/>
          <w:vertAlign w:val="subscript"/>
        </w:rPr>
        <w:t>,t</w:t>
      </w:r>
      <w:r w:rsidRPr="00A2483D">
        <w:rPr>
          <w:rFonts w:eastAsiaTheme="minorEastAsia"/>
          <w:color w:val="000000" w:themeColor="text1"/>
          <w:sz w:val="22"/>
          <w:szCs w:val="22"/>
        </w:rPr>
        <w:t xml:space="preserve">) + </w:t>
      </w:r>
      <m:oMath>
        <m:r>
          <w:rPr>
            <w:rFonts w:ascii="Cambria Math" w:eastAsiaTheme="minorEastAsia" w:hAnsi="Cambria Math"/>
            <w:color w:val="000000" w:themeColor="text1"/>
            <w:sz w:val="22"/>
            <w:szCs w:val="22"/>
          </w:rPr>
          <m:t>β(</m:t>
        </m:r>
        <m:r>
          <m:rPr>
            <m:sty m:val="p"/>
          </m:rP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rPr>
        <w:t>X</w:t>
      </w:r>
      <w:r>
        <w:rPr>
          <w:rFonts w:eastAsiaTheme="minorEastAsia"/>
          <w:color w:val="000000" w:themeColor="text1"/>
          <w:sz w:val="22"/>
          <w:szCs w:val="22"/>
          <w:vertAlign w:val="subscript"/>
        </w:rPr>
        <w:t>L1</w:t>
      </w:r>
      <w:r w:rsidRPr="00A2483D">
        <w:rPr>
          <w:rFonts w:eastAsiaTheme="minorEastAsia"/>
          <w:color w:val="000000" w:themeColor="text1"/>
          <w:sz w:val="22"/>
          <w:szCs w:val="22"/>
          <w:vertAlign w:val="subscript"/>
        </w:rPr>
        <w:t xml:space="preserve">,t </w:t>
      </w:r>
      <w:r w:rsidRPr="00A2483D">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A2483D">
        <w:rPr>
          <w:rFonts w:eastAsiaTheme="minorEastAsia"/>
          <w:color w:val="000000" w:themeColor="text1"/>
          <w:sz w:val="22"/>
          <w:szCs w:val="22"/>
        </w:rPr>
        <w:t>X</w:t>
      </w:r>
      <w:r>
        <w:rPr>
          <w:rFonts w:eastAsiaTheme="minorEastAsia"/>
          <w:color w:val="000000" w:themeColor="text1"/>
          <w:sz w:val="22"/>
          <w:szCs w:val="22"/>
          <w:vertAlign w:val="subscript"/>
        </w:rPr>
        <w:t>L2</w:t>
      </w:r>
      <w:r w:rsidRPr="00A2483D">
        <w:rPr>
          <w:rFonts w:eastAsiaTheme="minorEastAsia"/>
          <w:color w:val="000000" w:themeColor="text1"/>
          <w:sz w:val="22"/>
          <w:szCs w:val="22"/>
          <w:vertAlign w:val="subscript"/>
        </w:rPr>
        <w:t>,t</w:t>
      </w:r>
      <w:r w:rsidRPr="00A2483D">
        <w:rPr>
          <w:rFonts w:eastAsiaTheme="minorEastAsia"/>
          <w:color w:val="000000" w:themeColor="text1"/>
          <w:sz w:val="22"/>
          <w:szCs w:val="22"/>
        </w:rPr>
        <w:t>)</w:t>
      </w:r>
      <w:r w:rsidRPr="00A2483D">
        <w:rPr>
          <w:rFonts w:eastAsiaTheme="minorEastAsia"/>
          <w:color w:val="000000" w:themeColor="text1"/>
          <w:sz w:val="22"/>
          <w:szCs w:val="22"/>
          <w:shd w:val="clear" w:color="auto" w:fill="FFFFFF"/>
        </w:rPr>
        <w:t xml:space="preserve"> </w:t>
      </w:r>
      <m:oMath>
        <m:r>
          <w:rPr>
            <w:rFonts w:ascii="Cambria Math" w:eastAsiaTheme="minorEastAsia" w:hAnsi="Cambria Math"/>
            <w:color w:val="000000" w:themeColor="text1"/>
            <w:sz w:val="22"/>
            <w:szCs w:val="22"/>
            <w:shd w:val="clear" w:color="auto" w:fill="FFFFFF"/>
          </w:rPr>
          <m:t>≥</m:t>
        </m:r>
      </m:oMath>
      <w:r w:rsidRPr="00A2483D">
        <w:rPr>
          <w:rFonts w:eastAsiaTheme="minorEastAsia"/>
          <w:color w:val="000000" w:themeColor="text1"/>
          <w:sz w:val="22"/>
          <w:szCs w:val="22"/>
          <w:shd w:val="clear" w:color="auto" w:fill="FFFFFF"/>
        </w:rPr>
        <w:t xml:space="preserve"> 0</w:t>
      </w:r>
    </w:p>
    <w:p w14:paraId="4AC6FC92" w14:textId="77777777" w:rsidR="00F82C91" w:rsidRDefault="00F82C91" w:rsidP="00F82C91">
      <w:pPr>
        <w:spacing w:line="360" w:lineRule="auto"/>
        <w:rPr>
          <w:rFonts w:eastAsiaTheme="minorEastAsia"/>
        </w:rPr>
      </w:pPr>
    </w:p>
    <w:p w14:paraId="4ED43831" w14:textId="77777777" w:rsidR="00F82C91" w:rsidRDefault="00F82C91" w:rsidP="00F82C91">
      <w:pPr>
        <w:spacing w:line="360" w:lineRule="auto"/>
        <w:rPr>
          <w:rFonts w:eastAsiaTheme="minorEastAsia"/>
          <w:color w:val="000000" w:themeColor="text1"/>
        </w:rPr>
      </w:pPr>
      <w:r w:rsidRPr="003674FB">
        <w:rPr>
          <w:rFonts w:eastAsiaTheme="minorEastAsia"/>
          <w:b/>
          <w:bCs/>
          <w:i/>
          <w:iCs/>
          <w:shd w:val="clear" w:color="auto" w:fill="FFFFFF"/>
        </w:rPr>
        <w:t xml:space="preserve">Proof </w:t>
      </w:r>
      <w:r>
        <w:rPr>
          <w:rFonts w:eastAsiaTheme="minorEastAsia"/>
          <w:b/>
          <w:bCs/>
          <w:i/>
          <w:iCs/>
          <w:shd w:val="clear" w:color="auto" w:fill="FFFFFF"/>
        </w:rPr>
        <w:t>2</w:t>
      </w:r>
      <w:r w:rsidRPr="003674FB">
        <w:rPr>
          <w:rFonts w:eastAsiaTheme="minorEastAsia"/>
          <w:b/>
          <w:bCs/>
          <w:iCs/>
          <w:shd w:val="clear" w:color="auto" w:fill="FFFFFF"/>
        </w:rPr>
        <w:t>:</w:t>
      </w:r>
      <w:r w:rsidRPr="003674FB">
        <w:rPr>
          <w:rFonts w:eastAsiaTheme="minorEastAsia"/>
          <w:bCs/>
          <w:iCs/>
          <w:shd w:val="clear" w:color="auto" w:fill="FFFFFF"/>
        </w:rPr>
        <w:t xml:space="preserve"> </w:t>
      </w:r>
      <w:r w:rsidRPr="00BF1209">
        <w:rPr>
          <w:rFonts w:eastAsiaTheme="minorEastAsia"/>
          <w:color w:val="000000" w:themeColor="text1"/>
          <w:shd w:val="clear" w:color="auto" w:fill="FFFFFF"/>
        </w:rPr>
        <w:t xml:space="preserve">If </w:t>
      </w:r>
      <m:oMath>
        <m:r>
          <w:rPr>
            <w:rFonts w:ascii="Cambria Math" w:eastAsiaTheme="minorEastAsia" w:hAnsi="Cambria Math"/>
            <w:color w:val="000000" w:themeColor="text1"/>
          </w:rPr>
          <m:t>β</m:t>
        </m:r>
      </m:oMath>
      <w:r w:rsidRPr="00BF1209">
        <w:rPr>
          <w:rFonts w:eastAsiaTheme="minorEastAsia"/>
          <w:color w:val="000000" w:themeColor="text1"/>
        </w:rPr>
        <w:t xml:space="preserve"> = 0 and </w:t>
      </w:r>
      <w:r w:rsidRPr="00BF1209">
        <w:rPr>
          <w:rFonts w:eastAsiaTheme="minorEastAsia"/>
          <w:shd w:val="clear" w:color="auto" w:fill="FFFFFF"/>
        </w:rPr>
        <w:t xml:space="preserve">0 </w:t>
      </w:r>
      <m:oMath>
        <m:r>
          <w:rPr>
            <w:rFonts w:ascii="Cambria Math" w:eastAsiaTheme="minorEastAsia" w:hAnsi="Cambria Math"/>
            <w:shd w:val="clear" w:color="auto" w:fill="FFFFFF"/>
          </w:rPr>
          <m:t>≤</m:t>
        </m:r>
      </m:oMath>
      <w:r w:rsidRPr="00BF1209">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BF1209">
        <w:rPr>
          <w:rFonts w:eastAsiaTheme="minorEastAsia"/>
          <w:color w:val="000000" w:themeColor="text1"/>
        </w:rPr>
        <w:t xml:space="preserve"> </w:t>
      </w:r>
      <m:oMath>
        <m:r>
          <w:rPr>
            <w:rFonts w:ascii="Cambria Math" w:eastAsiaTheme="minorEastAsia" w:hAnsi="Cambria Math"/>
            <w:shd w:val="clear" w:color="auto" w:fill="FFFFFF"/>
          </w:rPr>
          <m:t>≤</m:t>
        </m:r>
      </m:oMath>
      <w:r w:rsidRPr="00BF1209">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C1,t</m:t>
                </m:r>
              </m:sub>
            </m:sSub>
            <m:r>
              <m:rPr>
                <m:sty m:val="p"/>
              </m:rPr>
              <w:rPr>
                <w:rFonts w:ascii="Cambria Math" w:eastAsiaTheme="minorEastAsia" w:hAnsi="Cambria Math"/>
                <w:color w:val="000000" w:themeColor="text1"/>
                <w:vertAlign w:val="subscript"/>
              </w:rPr>
              <m:t xml:space="preserve"> </m:t>
            </m:r>
            <m:r>
              <w:rPr>
                <w:rFonts w:ascii="Cambria Math" w:eastAsiaTheme="minorEastAsia" w:hAnsi="Cambria Math"/>
                <w:color w:val="000000" w:themeColor="text1"/>
              </w:rPr>
              <m:t>|</m:t>
            </m:r>
          </m:den>
        </m:f>
      </m:oMath>
      <w:r w:rsidRPr="00BF1209">
        <w:rPr>
          <w:rFonts w:eastAsiaTheme="minorEastAsia"/>
          <w:color w:val="000000" w:themeColor="text1"/>
        </w:rPr>
        <w:t xml:space="preserve"> then </w:t>
      </w:r>
      <m:oMath>
        <m:r>
          <w:rPr>
            <w:rFonts w:ascii="Cambria Math" w:eastAsiaTheme="minorEastAsia" w:hAnsi="Cambria Math"/>
            <w:color w:val="000000" w:themeColor="text1"/>
          </w:rPr>
          <m:t>∆</m:t>
        </m:r>
      </m:oMath>
      <w:r w:rsidRPr="00BF1209">
        <w:rPr>
          <w:color w:val="000000" w:themeColor="text1"/>
        </w:rPr>
        <w:t>X</w:t>
      </w:r>
      <w:r w:rsidRPr="00BF1209">
        <w:rPr>
          <w:color w:val="000000" w:themeColor="text1"/>
          <w:vertAlign w:val="subscript"/>
        </w:rPr>
        <w:t xml:space="preserve">L1,t </w:t>
      </w:r>
      <w:r w:rsidRPr="00BF1209">
        <w:rPr>
          <w:color w:val="000000" w:themeColor="text1"/>
        </w:rPr>
        <w:t xml:space="preserve">+ </w:t>
      </w:r>
      <m:oMath>
        <m:r>
          <m:rPr>
            <m:sty m:val="p"/>
          </m:rPr>
          <w:rPr>
            <w:rFonts w:ascii="Cambria Math" w:eastAsiaTheme="minorEastAsia" w:hAnsi="Cambria Math"/>
            <w:color w:val="000000" w:themeColor="text1"/>
          </w:rPr>
          <m:t>ε(∆</m:t>
        </m:r>
      </m:oMath>
      <w:r w:rsidRPr="00BF1209">
        <w:rPr>
          <w:rFonts w:eastAsiaTheme="minorEastAsia"/>
          <w:color w:val="000000" w:themeColor="text1"/>
        </w:rPr>
        <w:t>D</w:t>
      </w:r>
      <w:r w:rsidRPr="00BF1209">
        <w:rPr>
          <w:rFonts w:eastAsiaTheme="minorEastAsia"/>
          <w:color w:val="000000" w:themeColor="text1"/>
          <w:vertAlign w:val="subscript"/>
        </w:rPr>
        <w:t>C1,t</w:t>
      </w:r>
      <w:r w:rsidRPr="00BF1209">
        <w:rPr>
          <w:rFonts w:eastAsiaTheme="minorEastAsia"/>
          <w:color w:val="000000" w:themeColor="text1"/>
        </w:rPr>
        <w:t xml:space="preserve">) + </w:t>
      </w:r>
      <m:oMath>
        <m:r>
          <w:rPr>
            <w:rFonts w:ascii="Cambria Math" w:eastAsiaTheme="minorEastAsia" w:hAnsi="Cambria Math"/>
            <w:color w:val="000000" w:themeColor="text1"/>
          </w:rPr>
          <m:t>β(</m:t>
        </m:r>
        <m:r>
          <m:rPr>
            <m:sty m:val="p"/>
          </m:rPr>
          <w:rPr>
            <w:rFonts w:ascii="Cambria Math" w:eastAsiaTheme="minorEastAsia" w:hAnsi="Cambria Math"/>
            <w:color w:val="000000" w:themeColor="text1"/>
          </w:rPr>
          <m:t>∆</m:t>
        </m:r>
      </m:oMath>
      <w:r w:rsidRPr="00BF1209">
        <w:rPr>
          <w:rFonts w:eastAsiaTheme="minorEastAsia"/>
          <w:color w:val="000000" w:themeColor="text1"/>
        </w:rPr>
        <w:t>X</w:t>
      </w:r>
      <w:r w:rsidRPr="00BF1209">
        <w:rPr>
          <w:rFonts w:eastAsiaTheme="minorEastAsia"/>
          <w:color w:val="000000" w:themeColor="text1"/>
          <w:vertAlign w:val="subscript"/>
        </w:rPr>
        <w:t xml:space="preserve">L1,t </w:t>
      </w:r>
      <w:r w:rsidRPr="00BF1209">
        <w:rPr>
          <w:rFonts w:eastAsiaTheme="minorEastAsia"/>
          <w:color w:val="000000" w:themeColor="text1"/>
        </w:rPr>
        <w:t xml:space="preserve">- </w:t>
      </w:r>
      <m:oMath>
        <m:r>
          <m:rPr>
            <m:sty m:val="p"/>
          </m:rPr>
          <w:rPr>
            <w:rFonts w:ascii="Cambria Math" w:eastAsiaTheme="minorEastAsia" w:hAnsi="Cambria Math"/>
            <w:color w:val="000000" w:themeColor="text1"/>
          </w:rPr>
          <m:t>∆</m:t>
        </m:r>
      </m:oMath>
      <w:r w:rsidRPr="00BF1209">
        <w:rPr>
          <w:rFonts w:eastAsiaTheme="minorEastAsia"/>
          <w:color w:val="000000" w:themeColor="text1"/>
        </w:rPr>
        <w:t>X</w:t>
      </w:r>
      <w:r w:rsidRPr="00BF1209">
        <w:rPr>
          <w:rFonts w:eastAsiaTheme="minorEastAsia"/>
          <w:color w:val="000000" w:themeColor="text1"/>
          <w:vertAlign w:val="subscript"/>
        </w:rPr>
        <w:t>L2,t</w:t>
      </w:r>
      <w:r w:rsidRPr="00BF1209">
        <w:rPr>
          <w:rFonts w:eastAsiaTheme="minorEastAsia"/>
          <w:color w:val="000000" w:themeColor="text1"/>
        </w:rPr>
        <w:t>)</w:t>
      </w:r>
      <w:r>
        <w:rPr>
          <w:rFonts w:eastAsiaTheme="minorEastAsia"/>
          <w:color w:val="000000" w:themeColor="text1"/>
          <w:shd w:val="clear" w:color="auto" w:fill="FFFFFF"/>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w:t>
      </w:r>
      <w:r w:rsidRPr="00BF1209">
        <w:rPr>
          <w:rFonts w:eastAsiaTheme="minorEastAsia"/>
          <w:color w:val="000000" w:themeColor="text1"/>
          <w:shd w:val="clear" w:color="auto" w:fill="FFFFFF"/>
        </w:rPr>
        <w:t xml:space="preserve">0 and thus, </w:t>
      </w:r>
      <m:oMath>
        <m:r>
          <w:rPr>
            <w:rFonts w:ascii="Cambria Math" w:eastAsiaTheme="minorEastAsia" w:hAnsi="Cambria Math"/>
            <w:color w:val="000000" w:themeColor="text1"/>
          </w:rPr>
          <m:t>∆</m:t>
        </m:r>
      </m:oMath>
      <w:r w:rsidRPr="00BF1209">
        <w:rPr>
          <w:rFonts w:eastAsiaTheme="minorEastAsia"/>
          <w:color w:val="000000" w:themeColor="text1"/>
          <w:shd w:val="clear" w:color="auto" w:fill="FFFFFF"/>
        </w:rPr>
        <w:t>U</w:t>
      </w:r>
      <w:r w:rsidRPr="00BF1209">
        <w:rPr>
          <w:rFonts w:eastAsiaTheme="minorEastAsia"/>
          <w:color w:val="000000" w:themeColor="text1"/>
          <w:vertAlign w:val="subscript"/>
        </w:rPr>
        <w:t xml:space="preserve">L1,t </w:t>
      </w:r>
      <m:oMath>
        <m:r>
          <w:rPr>
            <w:rFonts w:ascii="Cambria Math" w:eastAsiaTheme="minorEastAsia" w:hAnsi="Cambria Math"/>
            <w:color w:val="000000" w:themeColor="text1"/>
            <w:shd w:val="clear" w:color="auto" w:fill="FFFFFF"/>
          </w:rPr>
          <m:t>≥</m:t>
        </m:r>
      </m:oMath>
      <w:r w:rsidRPr="00BF1209">
        <w:rPr>
          <w:rFonts w:eastAsiaTheme="minorEastAsia"/>
          <w:color w:val="000000" w:themeColor="text1"/>
          <w:shd w:val="clear" w:color="auto" w:fill="FFFFFF"/>
        </w:rPr>
        <w:t xml:space="preserve"> 0. A rational </w:t>
      </w:r>
      <w:r w:rsidRPr="00BF1209">
        <w:rPr>
          <w:rFonts w:eastAsiaTheme="minorEastAsia"/>
          <w:color w:val="000000" w:themeColor="text1"/>
        </w:rPr>
        <w:t>L</w:t>
      </w:r>
      <w:r>
        <w:rPr>
          <w:rFonts w:eastAsiaTheme="minorEastAsia"/>
          <w:color w:val="000000" w:themeColor="text1"/>
          <w:vertAlign w:val="subscript"/>
        </w:rPr>
        <w:t>1</w:t>
      </w:r>
      <w:r>
        <w:rPr>
          <w:rFonts w:eastAsiaTheme="minorEastAsia"/>
          <w:color w:val="000000" w:themeColor="text1"/>
        </w:rPr>
        <w:t xml:space="preserve">’s best response is to pass. </w:t>
      </w:r>
    </w:p>
    <w:p w14:paraId="3E7C90C2" w14:textId="77777777" w:rsidR="00F82C91" w:rsidRDefault="00F82C91" w:rsidP="00F82C91">
      <w:pPr>
        <w:spacing w:line="360" w:lineRule="auto"/>
        <w:rPr>
          <w:rFonts w:eastAsiaTheme="minorEastAsia"/>
          <w:color w:val="000000" w:themeColor="text1"/>
        </w:rPr>
      </w:pPr>
    </w:p>
    <w:p w14:paraId="4BCA3DF7" w14:textId="7CF65368" w:rsidR="00F82C91" w:rsidRPr="0011632D" w:rsidRDefault="00F82C91" w:rsidP="00F82C91">
      <w:pPr>
        <w:spacing w:line="360" w:lineRule="auto"/>
        <w:rPr>
          <w:rFonts w:eastAsiaTheme="minorEastAsia"/>
          <w:color w:val="000000" w:themeColor="text1"/>
        </w:rPr>
      </w:pPr>
      <w:r>
        <w:rPr>
          <w:rFonts w:eastAsiaTheme="minorEastAsia"/>
          <w:color w:val="000000" w:themeColor="text1"/>
        </w:rPr>
        <w:t xml:space="preserve">Even if we assume the more conservative case of indifference towards advantageous inequity, such that </w:t>
      </w:r>
      <m:oMath>
        <m:r>
          <w:rPr>
            <w:rFonts w:ascii="Cambria Math" w:eastAsiaTheme="minorEastAsia" w:hAnsi="Cambria Math"/>
          </w:rPr>
          <m:t>β</m:t>
        </m:r>
      </m:oMath>
      <w:r>
        <w:rPr>
          <w:rFonts w:eastAsiaTheme="minorEastAsia"/>
        </w:rPr>
        <w:t xml:space="preserve">=0; if </w:t>
      </w:r>
      <w:r w:rsidRPr="00BF1209">
        <w:rPr>
          <w:rFonts w:eastAsiaTheme="minorEastAsia"/>
          <w:shd w:val="clear" w:color="auto" w:fill="FFFFFF"/>
        </w:rPr>
        <w:t xml:space="preserve">0 </w:t>
      </w:r>
      <m:oMath>
        <m:r>
          <w:rPr>
            <w:rFonts w:ascii="Cambria Math" w:eastAsiaTheme="minorEastAsia" w:hAnsi="Cambria Math"/>
            <w:shd w:val="clear" w:color="auto" w:fill="FFFFFF"/>
          </w:rPr>
          <m:t>≤</m:t>
        </m:r>
      </m:oMath>
      <w:r w:rsidRPr="00BF1209">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BF1209">
        <w:rPr>
          <w:rFonts w:eastAsiaTheme="minorEastAsia"/>
          <w:color w:val="000000" w:themeColor="text1"/>
        </w:rPr>
        <w:t xml:space="preserve"> </w:t>
      </w:r>
      <m:oMath>
        <m:r>
          <w:rPr>
            <w:rFonts w:ascii="Cambria Math" w:eastAsiaTheme="minorEastAsia" w:hAnsi="Cambria Math"/>
            <w:shd w:val="clear" w:color="auto" w:fill="FFFFFF"/>
          </w:rPr>
          <m:t>≤</m:t>
        </m:r>
      </m:oMath>
      <w:r w:rsidRPr="00BF1209">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C1,t</m:t>
                </m:r>
              </m:sub>
            </m:sSub>
            <m:r>
              <m:rPr>
                <m:sty m:val="p"/>
              </m:rPr>
              <w:rPr>
                <w:rFonts w:ascii="Cambria Math" w:eastAsiaTheme="minorEastAsia" w:hAnsi="Cambria Math"/>
                <w:color w:val="000000" w:themeColor="text1"/>
                <w:vertAlign w:val="subscript"/>
              </w:rPr>
              <m:t xml:space="preserve"> </m:t>
            </m:r>
            <m:r>
              <w:rPr>
                <w:rFonts w:ascii="Cambria Math" w:eastAsiaTheme="minorEastAsia" w:hAnsi="Cambria Math"/>
                <w:color w:val="000000" w:themeColor="text1"/>
              </w:rPr>
              <m:t>|</m:t>
            </m:r>
          </m:den>
        </m:f>
      </m:oMath>
      <w:r>
        <w:rPr>
          <w:rFonts w:eastAsiaTheme="minorEastAsia"/>
          <w:color w:val="000000" w:themeColor="text1"/>
        </w:rPr>
        <w:t xml:space="preserve"> </w:t>
      </w:r>
      <w:r w:rsidR="000C49CF">
        <w:rPr>
          <w:rFonts w:eastAsiaTheme="minorEastAsia"/>
          <w:color w:val="000000" w:themeColor="text1"/>
        </w:rPr>
        <w:t xml:space="preserve">, </w:t>
      </w:r>
      <w:r>
        <w:rPr>
          <w:rFonts w:eastAsiaTheme="minorEastAsia"/>
          <w:color w:val="000000" w:themeColor="text1"/>
        </w:rPr>
        <w:t xml:space="preserve">then </w:t>
      </w:r>
      <m:oMath>
        <m:r>
          <w:rPr>
            <w:rFonts w:ascii="Cambria Math" w:eastAsiaTheme="minorEastAsia" w:hAnsi="Cambria Math"/>
            <w:color w:val="000000" w:themeColor="text1"/>
          </w:rPr>
          <m:t>∆</m:t>
        </m:r>
      </m:oMath>
      <w:r w:rsidRPr="008F142A">
        <w:rPr>
          <w:color w:val="000000" w:themeColor="text1"/>
        </w:rPr>
        <w:t>X</w:t>
      </w:r>
      <w:r w:rsidRPr="008F142A">
        <w:rPr>
          <w:color w:val="000000" w:themeColor="text1"/>
          <w:vertAlign w:val="subscript"/>
        </w:rPr>
        <w:t xml:space="preserve">L1,t </w:t>
      </w:r>
      <w:r w:rsidRPr="008F142A">
        <w:rPr>
          <w:color w:val="000000" w:themeColor="text1"/>
        </w:rPr>
        <w:t xml:space="preserve">+ </w:t>
      </w:r>
      <m:oMath>
        <m:r>
          <m:rPr>
            <m:sty m:val="p"/>
          </m:rPr>
          <w:rPr>
            <w:rFonts w:ascii="Cambria Math" w:eastAsiaTheme="minorEastAsia" w:hAnsi="Cambria Math"/>
            <w:color w:val="000000" w:themeColor="text1"/>
          </w:rPr>
          <m:t>ε(∆</m:t>
        </m:r>
      </m:oMath>
      <w:r w:rsidRPr="008F142A">
        <w:rPr>
          <w:rFonts w:eastAsiaTheme="minorEastAsia"/>
          <w:color w:val="000000" w:themeColor="text1"/>
        </w:rPr>
        <w:t>D</w:t>
      </w:r>
      <w:r w:rsidRPr="008F142A">
        <w:rPr>
          <w:rFonts w:eastAsiaTheme="minorEastAsia"/>
          <w:color w:val="000000" w:themeColor="text1"/>
          <w:vertAlign w:val="subscript"/>
        </w:rPr>
        <w:t>C1,t</w:t>
      </w:r>
      <w:r w:rsidRPr="008F142A">
        <w:rPr>
          <w:rFonts w:eastAsiaTheme="minorEastAsia"/>
          <w:color w:val="000000" w:themeColor="text1"/>
        </w:rPr>
        <w:t xml:space="preserve">) + </w:t>
      </w:r>
      <m:oMath>
        <m:r>
          <w:rPr>
            <w:rFonts w:ascii="Cambria Math" w:eastAsiaTheme="minorEastAsia" w:hAnsi="Cambria Math"/>
            <w:color w:val="000000" w:themeColor="text1"/>
          </w:rPr>
          <m:t>β(</m:t>
        </m:r>
        <m:r>
          <m:rPr>
            <m:sty m:val="p"/>
          </m:rPr>
          <w:rPr>
            <w:rFonts w:ascii="Cambria Math" w:eastAsiaTheme="minorEastAsia" w:hAnsi="Cambria Math"/>
            <w:color w:val="000000" w:themeColor="text1"/>
          </w:rPr>
          <m:t>∆</m:t>
        </m:r>
      </m:oMath>
      <w:r w:rsidRPr="008F142A">
        <w:rPr>
          <w:rFonts w:eastAsiaTheme="minorEastAsia"/>
          <w:color w:val="000000" w:themeColor="text1"/>
        </w:rPr>
        <w:t>X</w:t>
      </w:r>
      <w:r w:rsidRPr="008F142A">
        <w:rPr>
          <w:rFonts w:eastAsiaTheme="minorEastAsia"/>
          <w:color w:val="000000" w:themeColor="text1"/>
          <w:vertAlign w:val="subscript"/>
        </w:rPr>
        <w:t xml:space="preserve">L1,t </w:t>
      </w:r>
      <w:r w:rsidRPr="008F142A">
        <w:rPr>
          <w:rFonts w:eastAsiaTheme="minorEastAsia"/>
          <w:color w:val="000000" w:themeColor="text1"/>
        </w:rPr>
        <w:t xml:space="preserve">- </w:t>
      </w:r>
      <m:oMath>
        <m:r>
          <m:rPr>
            <m:sty m:val="p"/>
          </m:rPr>
          <w:rPr>
            <w:rFonts w:ascii="Cambria Math" w:eastAsiaTheme="minorEastAsia" w:hAnsi="Cambria Math"/>
            <w:color w:val="000000" w:themeColor="text1"/>
          </w:rPr>
          <m:t>∆</m:t>
        </m:r>
      </m:oMath>
      <w:r w:rsidRPr="008F142A">
        <w:rPr>
          <w:rFonts w:eastAsiaTheme="minorEastAsia"/>
          <w:color w:val="000000" w:themeColor="text1"/>
        </w:rPr>
        <w:t>X</w:t>
      </w:r>
      <w:r w:rsidRPr="008F142A">
        <w:rPr>
          <w:rFonts w:eastAsiaTheme="minorEastAsia"/>
          <w:color w:val="000000" w:themeColor="text1"/>
          <w:vertAlign w:val="subscript"/>
        </w:rPr>
        <w:t>L2,t</w:t>
      </w:r>
      <w:r w:rsidRPr="008F142A">
        <w:rPr>
          <w:rFonts w:eastAsiaTheme="minorEastAsia"/>
          <w:color w:val="000000" w:themeColor="text1"/>
        </w:rPr>
        <w:t>)</w:t>
      </w:r>
      <w:r w:rsidRPr="008F142A">
        <w:rPr>
          <w:rFonts w:eastAsiaTheme="minorEastAsia"/>
          <w:color w:val="000000" w:themeColor="text1"/>
          <w:shd w:val="clear" w:color="auto" w:fill="FFFFFF"/>
        </w:rPr>
        <w:t xml:space="preserve"> </w:t>
      </w:r>
      <m:oMath>
        <m:r>
          <w:rPr>
            <w:rFonts w:ascii="Cambria Math" w:eastAsiaTheme="minorEastAsia" w:hAnsi="Cambria Math"/>
            <w:color w:val="000000" w:themeColor="text1"/>
            <w:shd w:val="clear" w:color="auto" w:fill="FFFFFF"/>
          </w:rPr>
          <m:t>≥</m:t>
        </m:r>
      </m:oMath>
      <w:r w:rsidRPr="008F142A">
        <w:rPr>
          <w:rFonts w:eastAsiaTheme="minorEastAsia"/>
          <w:color w:val="000000" w:themeColor="text1"/>
          <w:shd w:val="clear" w:color="auto" w:fill="FFFFFF"/>
        </w:rPr>
        <w:t xml:space="preserve"> 0 and the advantaged L</w:t>
      </w:r>
      <w:r w:rsidRPr="00222CB1">
        <w:rPr>
          <w:rFonts w:eastAsiaTheme="minorEastAsia"/>
          <w:color w:val="000000" w:themeColor="text1"/>
          <w:shd w:val="clear" w:color="auto" w:fill="FFFFFF"/>
          <w:vertAlign w:val="subscript"/>
        </w:rPr>
        <w:t>1</w:t>
      </w:r>
      <w:r w:rsidRPr="008F142A">
        <w:rPr>
          <w:rFonts w:eastAsiaTheme="minorEastAsia"/>
          <w:color w:val="000000" w:themeColor="text1"/>
          <w:shd w:val="clear" w:color="auto" w:fill="FFFFFF"/>
        </w:rPr>
        <w:t xml:space="preserve">’s best response is to always pass. </w:t>
      </w:r>
      <w:r>
        <w:rPr>
          <w:rFonts w:eastAsiaTheme="minorEastAsia"/>
          <w:color w:val="000000" w:themeColor="text1"/>
        </w:rPr>
        <w:t xml:space="preserve">If this holds, the disadvantaged </w:t>
      </w:r>
      <w:r>
        <w:rPr>
          <w:rFonts w:eastAsiaTheme="minorEastAsia"/>
        </w:rPr>
        <w:t>L</w:t>
      </w:r>
      <w:r>
        <w:rPr>
          <w:rFonts w:eastAsiaTheme="minorEastAsia"/>
          <w:vertAlign w:val="subscript"/>
        </w:rPr>
        <w:t>2</w:t>
      </w:r>
      <w:r>
        <w:rPr>
          <w:rFonts w:eastAsiaTheme="minorEastAsia"/>
        </w:rPr>
        <w:t xml:space="preserve"> will evade disutility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C2,t </w:t>
      </w:r>
      <w:r w:rsidRPr="003674FB">
        <w:rPr>
          <w:rFonts w:eastAsiaTheme="minorEastAsia"/>
          <w:color w:val="000000" w:themeColor="text1"/>
        </w:rPr>
        <w:t>– D</w:t>
      </w:r>
      <w:r w:rsidRPr="003674FB">
        <w:rPr>
          <w:rFonts w:eastAsiaTheme="minorEastAsia"/>
          <w:color w:val="000000" w:themeColor="text1"/>
          <w:vertAlign w:val="subscript"/>
        </w:rPr>
        <w:t>C2max,t</w:t>
      </w:r>
      <w:r w:rsidRPr="003674FB">
        <w:rPr>
          <w:rFonts w:eastAsiaTheme="minorEastAsia"/>
          <w:color w:val="000000" w:themeColor="text1"/>
        </w:rPr>
        <w:t xml:space="preserve">). </w:t>
      </w:r>
      <w:r>
        <w:rPr>
          <w:rFonts w:eastAsiaTheme="minorEastAsia"/>
          <w:color w:val="000000" w:themeColor="text1"/>
        </w:rPr>
        <w:t xml:space="preserve">Indeed, </w:t>
      </w:r>
      <w:r w:rsidR="0011632D">
        <w:rPr>
          <w:rFonts w:eastAsiaTheme="minorEastAsia"/>
          <w:color w:val="000000" w:themeColor="text1"/>
        </w:rPr>
        <w:t xml:space="preserve">since the assumptions of the ‘typical lawyer’ are common knowledge, </w:t>
      </w:r>
      <w:r>
        <w:rPr>
          <w:rFonts w:eastAsiaTheme="minorEastAsia"/>
        </w:rPr>
        <w:t>L</w:t>
      </w:r>
      <w:r>
        <w:rPr>
          <w:rFonts w:eastAsiaTheme="minorEastAsia"/>
          <w:vertAlign w:val="subscript"/>
        </w:rPr>
        <w:t>2</w:t>
      </w:r>
      <w:r>
        <w:rPr>
          <w:rFonts w:eastAsiaTheme="minorEastAsia"/>
        </w:rPr>
        <w:t xml:space="preserve"> will not have to worry about their rival taking in a subsequent node. </w:t>
      </w:r>
      <w:r w:rsidR="0011632D">
        <w:rPr>
          <w:rFonts w:eastAsiaTheme="minorEastAsia"/>
        </w:rPr>
        <w:t>Nevertheless</w:t>
      </w:r>
      <w:r>
        <w:rPr>
          <w:rFonts w:eastAsiaTheme="minorEastAsia"/>
        </w:rPr>
        <w:t xml:space="preserve">, a disadvantaged </w:t>
      </w:r>
      <w:r w:rsidRPr="003674FB">
        <w:rPr>
          <w:rFonts w:eastAsiaTheme="minorEastAsia"/>
          <w:color w:val="000000" w:themeColor="text1"/>
        </w:rPr>
        <w:t>L</w:t>
      </w:r>
      <w:r w:rsidRPr="003674FB">
        <w:rPr>
          <w:rFonts w:eastAsiaTheme="minorEastAsia"/>
          <w:color w:val="000000" w:themeColor="text1"/>
          <w:vertAlign w:val="subscript"/>
        </w:rPr>
        <w:t>2</w:t>
      </w:r>
      <w:r w:rsidRPr="003674FB">
        <w:rPr>
          <w:rFonts w:eastAsiaTheme="minorEastAsia"/>
          <w:color w:val="000000" w:themeColor="text1"/>
        </w:rPr>
        <w:t xml:space="preserve"> will source disutility from disadvantageous inequity </w:t>
      </w:r>
      <m:oMath>
        <m:r>
          <w:rPr>
            <w:rFonts w:ascii="Cambria Math" w:eastAsiaTheme="minorEastAsia" w:hAnsi="Cambria Math"/>
          </w:rPr>
          <m:t>α</m:t>
        </m:r>
      </m:oMath>
      <w:r w:rsidRPr="003674FB">
        <w:rPr>
          <w:rFonts w:eastAsiaTheme="minorEastAsia"/>
        </w:rPr>
        <w:t>(</w:t>
      </w:r>
      <w:r w:rsidRPr="003674FB">
        <w:t>X</w:t>
      </w:r>
      <w:r w:rsidRPr="003674FB">
        <w:rPr>
          <w:vertAlign w:val="subscript"/>
        </w:rPr>
        <w:t xml:space="preserve">L1,t </w:t>
      </w:r>
      <w:r w:rsidRPr="003674FB">
        <w:t>– X</w:t>
      </w:r>
      <w:r w:rsidRPr="003674FB">
        <w:rPr>
          <w:vertAlign w:val="subscript"/>
        </w:rPr>
        <w:t>L2,t</w:t>
      </w:r>
      <w:r w:rsidRPr="003674FB">
        <w:t>)</w:t>
      </w:r>
      <w:r>
        <w:t xml:space="preserve">. </w:t>
      </w:r>
      <w:r>
        <w:rPr>
          <w:rFonts w:eastAsiaTheme="minorEastAsia"/>
          <w:b/>
        </w:rPr>
        <w:t>UF</w:t>
      </w:r>
      <w:r w:rsidRPr="003674FB">
        <w:rPr>
          <w:rFonts w:eastAsiaTheme="minorEastAsia"/>
          <w:b/>
        </w:rPr>
        <w:t xml:space="preserve"> (7) </w:t>
      </w:r>
      <w:r w:rsidRPr="003674FB">
        <w:rPr>
          <w:rFonts w:eastAsiaTheme="minorEastAsia"/>
        </w:rPr>
        <w:t>presents a disadvantaged L</w:t>
      </w:r>
      <w:r w:rsidRPr="003674FB">
        <w:rPr>
          <w:rFonts w:eastAsiaTheme="minorEastAsia"/>
          <w:vertAlign w:val="subscript"/>
        </w:rPr>
        <w:t>2</w:t>
      </w:r>
      <w:r w:rsidRPr="003674FB">
        <w:rPr>
          <w:rFonts w:eastAsiaTheme="minorEastAsia"/>
        </w:rPr>
        <w:t xml:space="preserve">’s utility at node t, under </w:t>
      </w:r>
      <w:r w:rsidRPr="003674FB">
        <w:rPr>
          <w:rFonts w:eastAsiaTheme="minorEastAsia"/>
          <w:b/>
        </w:rPr>
        <w:t>P</w:t>
      </w:r>
      <w:r>
        <w:rPr>
          <w:rFonts w:eastAsiaTheme="minorEastAsia"/>
          <w:b/>
        </w:rPr>
        <w:t xml:space="preserve">roposition </w:t>
      </w:r>
      <w:r w:rsidRPr="003674FB">
        <w:rPr>
          <w:rFonts w:eastAsiaTheme="minorEastAsia"/>
          <w:b/>
        </w:rPr>
        <w:t>2.</w:t>
      </w:r>
      <w:r w:rsidRPr="003674FB">
        <w:rPr>
          <w:rFonts w:eastAsiaTheme="minorEastAsia"/>
        </w:rPr>
        <w:t xml:space="preserve"> </w:t>
      </w:r>
    </w:p>
    <w:p w14:paraId="28B7FE41" w14:textId="77777777" w:rsidR="00F82C91" w:rsidRDefault="00F82C91" w:rsidP="00F82C91">
      <w:pPr>
        <w:spacing w:line="360" w:lineRule="auto"/>
        <w:rPr>
          <w:rFonts w:eastAsiaTheme="minorEastAsia"/>
          <w:shd w:val="clear" w:color="auto" w:fill="FFFFFF"/>
        </w:rPr>
      </w:pPr>
    </w:p>
    <w:p w14:paraId="3876B8CB" w14:textId="77777777" w:rsidR="00F71373" w:rsidRPr="003674FB" w:rsidRDefault="00F71373" w:rsidP="00F82C91">
      <w:pPr>
        <w:spacing w:line="360" w:lineRule="auto"/>
        <w:rPr>
          <w:rFonts w:eastAsiaTheme="minorEastAsia"/>
          <w:shd w:val="clear" w:color="auto" w:fill="FFFFFF"/>
        </w:rPr>
      </w:pPr>
    </w:p>
    <w:p w14:paraId="35A1CF11" w14:textId="77777777" w:rsidR="00F82C91" w:rsidRPr="003674FB" w:rsidRDefault="00F82C91" w:rsidP="00F82C91">
      <w:pPr>
        <w:spacing w:line="360" w:lineRule="auto"/>
        <w:rPr>
          <w:rFonts w:eastAsiaTheme="minorEastAsia"/>
          <w:b/>
          <w:color w:val="000000" w:themeColor="text1"/>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L1,t</w:t>
      </w:r>
      <w:r w:rsidRPr="003674FB">
        <w:rPr>
          <w:rFonts w:eastAsiaTheme="minorEastAsia"/>
        </w:rPr>
        <w:t>, X</w:t>
      </w:r>
      <w:r w:rsidRPr="003674FB">
        <w:rPr>
          <w:rFonts w:eastAsiaTheme="minorEastAsia"/>
          <w:vertAlign w:val="subscript"/>
        </w:rPr>
        <w:t>L2,t</w:t>
      </w:r>
      <w:r w:rsidRPr="003674FB">
        <w:rPr>
          <w:rFonts w:eastAsiaTheme="minorEastAsia"/>
        </w:rPr>
        <w:t xml:space="preserve">) = </w:t>
      </w:r>
      <w:r w:rsidRPr="003674FB">
        <w:t>X</w:t>
      </w:r>
      <w:r w:rsidRPr="003674FB">
        <w:rPr>
          <w:vertAlign w:val="subscript"/>
        </w:rPr>
        <w:t xml:space="preserve">L2,t </w:t>
      </w:r>
      <w:r w:rsidRPr="003674FB">
        <w:rPr>
          <w:rFonts w:eastAsiaTheme="minorEastAsia"/>
          <w:shd w:val="clear" w:color="auto" w:fill="FFFFFF"/>
        </w:rPr>
        <w:t xml:space="preserve">- </w:t>
      </w:r>
      <m:oMath>
        <m:r>
          <w:rPr>
            <w:rFonts w:ascii="Cambria Math" w:eastAsiaTheme="minorEastAsia" w:hAnsi="Cambria Math"/>
          </w:rPr>
          <m:t xml:space="preserve">α </m:t>
        </m:r>
      </m:oMath>
      <w:r w:rsidRPr="003674FB">
        <w:rPr>
          <w:rFonts w:eastAsiaTheme="minorEastAsia"/>
        </w:rPr>
        <w:t>(</w:t>
      </w:r>
      <w:r w:rsidRPr="003674FB">
        <w:t>X</w:t>
      </w:r>
      <w:r w:rsidRPr="003674FB">
        <w:rPr>
          <w:vertAlign w:val="subscript"/>
        </w:rPr>
        <w:t xml:space="preserve">L1,t </w:t>
      </w:r>
      <w:r w:rsidRPr="003674FB">
        <w:t>– X</w:t>
      </w:r>
      <w:r w:rsidRPr="003674FB">
        <w:rPr>
          <w:vertAlign w:val="subscript"/>
        </w:rPr>
        <w:t>L2,t</w:t>
      </w:r>
      <w:r w:rsidRPr="003674FB">
        <w:t>)</w:t>
      </w:r>
      <w:r>
        <w:rPr>
          <w:rFonts w:eastAsiaTheme="minorEastAsia"/>
          <w:shd w:val="clear" w:color="auto" w:fill="FFFFFF"/>
        </w:rPr>
        <w:tab/>
      </w:r>
      <w:r>
        <w:rPr>
          <w:rFonts w:eastAsiaTheme="minorEastAsia"/>
          <w:shd w:val="clear" w:color="auto" w:fill="FFFFFF"/>
        </w:rPr>
        <w:tab/>
      </w:r>
      <w:r>
        <w:rPr>
          <w:rFonts w:eastAsiaTheme="minorEastAsia"/>
          <w:shd w:val="clear" w:color="auto" w:fill="FFFFFF"/>
        </w:rPr>
        <w:tab/>
      </w:r>
      <w:r>
        <w:rPr>
          <w:rFonts w:eastAsiaTheme="minorEastAsia"/>
          <w:shd w:val="clear" w:color="auto" w:fill="FFFFFF"/>
        </w:rPr>
        <w:tab/>
      </w:r>
      <w:r>
        <w:rPr>
          <w:rFonts w:eastAsiaTheme="minorEastAsia"/>
          <w:shd w:val="clear" w:color="auto" w:fill="FFFFFF"/>
        </w:rPr>
        <w:tab/>
        <w:t xml:space="preserve">                         </w:t>
      </w:r>
      <w:r w:rsidRPr="003674FB">
        <w:rPr>
          <w:rFonts w:eastAsiaTheme="minorEastAsia"/>
          <w:b/>
          <w:color w:val="000000" w:themeColor="text1"/>
        </w:rPr>
        <w:t>(7)</w:t>
      </w:r>
    </w:p>
    <w:p w14:paraId="1B9195A5" w14:textId="77777777" w:rsidR="00F82C91" w:rsidRPr="003674FB" w:rsidRDefault="00F82C91" w:rsidP="00F82C91">
      <w:pPr>
        <w:spacing w:line="360" w:lineRule="auto"/>
        <w:rPr>
          <w:rFonts w:eastAsiaTheme="minorEastAsia"/>
          <w:b/>
          <w:color w:val="000000" w:themeColor="text1"/>
        </w:rPr>
      </w:pPr>
    </w:p>
    <w:p w14:paraId="3B26A5F2" w14:textId="77777777" w:rsidR="00F82C91" w:rsidRPr="003674FB" w:rsidRDefault="00F82C91" w:rsidP="00F82C91">
      <w:pPr>
        <w:spacing w:line="360" w:lineRule="auto"/>
        <w:rPr>
          <w:rFonts w:eastAsiaTheme="minorEastAsia"/>
          <w:sz w:val="22"/>
          <w:szCs w:val="22"/>
        </w:rPr>
      </w:pP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w:t>
      </w:r>
      <w:r w:rsidRPr="003674FB">
        <w:rPr>
          <w:rFonts w:eastAsiaTheme="minorEastAsia"/>
          <w:color w:val="000000" w:themeColor="text1"/>
          <w:sz w:val="22"/>
          <w:szCs w:val="22"/>
          <w:shd w:val="clear" w:color="auto" w:fill="FFFFFF"/>
        </w:rPr>
        <w:t xml:space="preserve"> U</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w:t>
      </w:r>
      <w:r w:rsidRPr="003674FB">
        <w:rPr>
          <w:rFonts w:eastAsiaTheme="minorEastAsia"/>
          <w:sz w:val="22"/>
          <w:szCs w:val="22"/>
        </w:rPr>
        <w:t>X</w:t>
      </w:r>
      <w:r w:rsidRPr="003674FB">
        <w:rPr>
          <w:rFonts w:eastAsiaTheme="minorEastAsia"/>
          <w:sz w:val="22"/>
          <w:szCs w:val="22"/>
          <w:vertAlign w:val="subscript"/>
        </w:rPr>
        <w:t>L1,t</w:t>
      </w:r>
      <w:r w:rsidRPr="003674FB">
        <w:rPr>
          <w:rFonts w:eastAsiaTheme="minorEastAsia"/>
          <w:sz w:val="22"/>
          <w:szCs w:val="22"/>
        </w:rPr>
        <w:t>, X</w:t>
      </w:r>
      <w:r w:rsidRPr="003674FB">
        <w:rPr>
          <w:rFonts w:eastAsiaTheme="minorEastAsia"/>
          <w:sz w:val="22"/>
          <w:szCs w:val="22"/>
          <w:vertAlign w:val="subscript"/>
        </w:rPr>
        <w:t>L2,t</w:t>
      </w:r>
      <w:r w:rsidRPr="003674FB">
        <w:rPr>
          <w:rFonts w:eastAsiaTheme="minorEastAsia"/>
          <w:sz w:val="22"/>
          <w:szCs w:val="22"/>
        </w:rPr>
        <w:t xml:space="preserve">) - </w:t>
      </w:r>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L2,t</w:t>
      </w:r>
      <w:r>
        <w:rPr>
          <w:rFonts w:eastAsiaTheme="minorEastAsia"/>
          <w:color w:val="000000" w:themeColor="text1"/>
          <w:sz w:val="22"/>
          <w:szCs w:val="22"/>
          <w:vertAlign w:val="subscript"/>
        </w:rPr>
        <w:t xml:space="preserve">-1 </w:t>
      </w:r>
      <w:r w:rsidRPr="003674FB">
        <w:rPr>
          <w:rFonts w:eastAsiaTheme="minorEastAsia"/>
          <w:color w:val="000000" w:themeColor="text1"/>
          <w:sz w:val="22"/>
          <w:szCs w:val="22"/>
        </w:rPr>
        <w:t>(</w:t>
      </w:r>
      <w:r w:rsidRPr="003674FB">
        <w:rPr>
          <w:rFonts w:eastAsiaTheme="minorEastAsia"/>
          <w:sz w:val="22"/>
          <w:szCs w:val="22"/>
        </w:rPr>
        <w:t>X</w:t>
      </w:r>
      <w:r w:rsidRPr="003674FB">
        <w:rPr>
          <w:rFonts w:eastAsiaTheme="minorEastAsia"/>
          <w:sz w:val="22"/>
          <w:szCs w:val="22"/>
          <w:vertAlign w:val="subscript"/>
        </w:rPr>
        <w:t>L1,t-1</w:t>
      </w:r>
      <w:r w:rsidRPr="003674FB">
        <w:rPr>
          <w:rFonts w:eastAsiaTheme="minorEastAsia"/>
          <w:sz w:val="22"/>
          <w:szCs w:val="22"/>
        </w:rPr>
        <w:t>, X</w:t>
      </w:r>
      <w:r w:rsidRPr="003674FB">
        <w:rPr>
          <w:rFonts w:eastAsiaTheme="minorEastAsia"/>
          <w:sz w:val="22"/>
          <w:szCs w:val="22"/>
          <w:vertAlign w:val="subscript"/>
        </w:rPr>
        <w:t>L2,t-1</w:t>
      </w:r>
      <w:r w:rsidRPr="003674FB">
        <w:rPr>
          <w:rFonts w:eastAsiaTheme="minorEastAsia"/>
          <w:sz w:val="22"/>
          <w:szCs w:val="22"/>
        </w:rPr>
        <w:t>)</w:t>
      </w:r>
    </w:p>
    <w:p w14:paraId="54B907EF" w14:textId="77777777" w:rsidR="00F82C91" w:rsidRPr="003674FB" w:rsidRDefault="00F82C91" w:rsidP="00F82C91">
      <w:pPr>
        <w:spacing w:line="360" w:lineRule="auto"/>
        <w:rPr>
          <w:color w:val="000000" w:themeColor="text1"/>
          <w:sz w:val="22"/>
          <w:szCs w:val="22"/>
        </w:rPr>
      </w:pPr>
      <m:oMath>
        <m: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sidRPr="003674FB">
        <w:rPr>
          <w:rFonts w:eastAsiaTheme="minorEastAsia"/>
          <w:b/>
          <w:color w:val="000000" w:themeColor="text1"/>
          <w:sz w:val="22"/>
          <w:szCs w:val="22"/>
        </w:rPr>
        <w:t xml:space="preserve">= </w:t>
      </w:r>
      <w:r w:rsidRPr="003674FB">
        <w:rPr>
          <w:color w:val="000000" w:themeColor="text1"/>
          <w:sz w:val="22"/>
          <w:szCs w:val="22"/>
        </w:rPr>
        <w:t>X</w:t>
      </w:r>
      <w:r w:rsidRPr="003674FB">
        <w:rPr>
          <w:color w:val="000000" w:themeColor="text1"/>
          <w:sz w:val="22"/>
          <w:szCs w:val="22"/>
          <w:vertAlign w:val="subscript"/>
        </w:rPr>
        <w:t xml:space="preserve">L2,t  </w:t>
      </w:r>
      <w:r w:rsidRPr="003674FB">
        <w:rPr>
          <w:color w:val="000000" w:themeColor="text1"/>
          <w:sz w:val="22"/>
          <w:szCs w:val="22"/>
        </w:rPr>
        <w:t>- X</w:t>
      </w:r>
      <w:r w:rsidRPr="003674FB">
        <w:rPr>
          <w:color w:val="000000" w:themeColor="text1"/>
          <w:sz w:val="22"/>
          <w:szCs w:val="22"/>
          <w:vertAlign w:val="subscript"/>
        </w:rPr>
        <w:t xml:space="preserve">L2,t-1 </w:t>
      </w:r>
    </w:p>
    <w:p w14:paraId="59723F8D" w14:textId="77777777" w:rsidR="00F82C91" w:rsidRPr="003674FB" w:rsidRDefault="00F82C91" w:rsidP="00F82C91">
      <w:pPr>
        <w:spacing w:line="360" w:lineRule="auto"/>
        <w:rPr>
          <w:rFonts w:eastAsiaTheme="minorEastAsia"/>
          <w:color w:val="000000" w:themeColor="text1"/>
          <w:sz w:val="22"/>
          <w:szCs w:val="22"/>
        </w:rPr>
      </w:pPr>
      <m:oMath>
        <m:r>
          <w:rPr>
            <w:rFonts w:ascii="Cambria Math" w:eastAsiaTheme="minorEastAsia" w:hAnsi="Cambria Math"/>
            <w:sz w:val="22"/>
            <w:szCs w:val="22"/>
          </w:rPr>
          <m:t>α</m:t>
        </m:r>
      </m:oMath>
      <w:r w:rsidRPr="003674FB">
        <w:rPr>
          <w:rFonts w:eastAsiaTheme="minorEastAsia"/>
          <w:sz w:val="22"/>
          <w:szCs w:val="22"/>
        </w:rPr>
        <w:t>(</w:t>
      </w:r>
      <m:oMath>
        <m:r>
          <m:rPr>
            <m:sty m:val="p"/>
          </m:rPr>
          <w:rPr>
            <w:rFonts w:ascii="Cambria Math" w:eastAsiaTheme="minorEastAsia" w:hAnsi="Cambria Math"/>
            <w:color w:val="000000" w:themeColor="text1"/>
            <w:sz w:val="22"/>
            <w:szCs w:val="22"/>
          </w:rPr>
          <m:t>∆</m:t>
        </m:r>
      </m:oMath>
      <w:r w:rsidRPr="003674FB">
        <w:rPr>
          <w:sz w:val="22"/>
          <w:szCs w:val="22"/>
        </w:rPr>
        <w:t>X</w:t>
      </w:r>
      <w:r w:rsidRPr="003674FB">
        <w:rPr>
          <w:sz w:val="22"/>
          <w:szCs w:val="22"/>
          <w:vertAlign w:val="subscript"/>
        </w:rPr>
        <w:t xml:space="preserve">L1,t </w:t>
      </w:r>
      <w:r w:rsidRPr="003674FB">
        <w:rPr>
          <w:sz w:val="22"/>
          <w:szCs w:val="22"/>
        </w:rPr>
        <w:t xml:space="preserve">- </w:t>
      </w:r>
      <m:oMath>
        <m:r>
          <m:rPr>
            <m:sty m:val="p"/>
          </m:rPr>
          <w:rPr>
            <w:rFonts w:ascii="Cambria Math" w:eastAsiaTheme="minorEastAsia" w:hAnsi="Cambria Math"/>
            <w:color w:val="000000" w:themeColor="text1"/>
            <w:sz w:val="22"/>
            <w:szCs w:val="22"/>
          </w:rPr>
          <m:t>∆</m:t>
        </m:r>
      </m:oMath>
      <w:r w:rsidRPr="003674FB">
        <w:rPr>
          <w:sz w:val="22"/>
          <w:szCs w:val="22"/>
        </w:rPr>
        <w:t>X</w:t>
      </w:r>
      <w:r w:rsidRPr="003674FB">
        <w:rPr>
          <w:sz w:val="22"/>
          <w:szCs w:val="22"/>
          <w:vertAlign w:val="subscript"/>
        </w:rPr>
        <w:t>L2,t</w:t>
      </w:r>
      <w:r w:rsidRPr="003674FB">
        <w:rPr>
          <w:sz w:val="22"/>
          <w:szCs w:val="22"/>
        </w:rPr>
        <w:t xml:space="preserve">) = </w:t>
      </w:r>
      <m:oMath>
        <m:r>
          <w:rPr>
            <w:rFonts w:ascii="Cambria Math" w:eastAsiaTheme="minorEastAsia" w:hAnsi="Cambria Math"/>
            <w:sz w:val="22"/>
            <w:szCs w:val="22"/>
          </w:rPr>
          <m:t>α(</m:t>
        </m:r>
      </m:oMath>
      <w:r w:rsidRPr="003674FB">
        <w:rPr>
          <w:rFonts w:eastAsiaTheme="minorEastAsia"/>
          <w:sz w:val="22"/>
          <w:szCs w:val="22"/>
        </w:rPr>
        <w:t>(</w:t>
      </w:r>
      <w:r w:rsidRPr="003674FB">
        <w:rPr>
          <w:sz w:val="22"/>
          <w:szCs w:val="22"/>
        </w:rPr>
        <w:t>X</w:t>
      </w:r>
      <w:r w:rsidRPr="003674FB">
        <w:rPr>
          <w:sz w:val="22"/>
          <w:szCs w:val="22"/>
          <w:vertAlign w:val="subscript"/>
        </w:rPr>
        <w:t xml:space="preserve">L1,t </w:t>
      </w:r>
      <w:r w:rsidRPr="003674FB">
        <w:rPr>
          <w:sz w:val="22"/>
          <w:szCs w:val="22"/>
        </w:rPr>
        <w:t>- X</w:t>
      </w:r>
      <w:r w:rsidRPr="003674FB">
        <w:rPr>
          <w:sz w:val="22"/>
          <w:szCs w:val="22"/>
          <w:vertAlign w:val="subscript"/>
        </w:rPr>
        <w:t>L1,t-1</w:t>
      </w:r>
      <w:r w:rsidRPr="003674FB">
        <w:rPr>
          <w:sz w:val="22"/>
          <w:szCs w:val="22"/>
        </w:rPr>
        <w:t>) – (X</w:t>
      </w:r>
      <w:r w:rsidRPr="003674FB">
        <w:rPr>
          <w:sz w:val="22"/>
          <w:szCs w:val="22"/>
          <w:vertAlign w:val="subscript"/>
        </w:rPr>
        <w:t xml:space="preserve">L2,t </w:t>
      </w:r>
      <w:r w:rsidRPr="003674FB">
        <w:rPr>
          <w:sz w:val="22"/>
          <w:szCs w:val="22"/>
        </w:rPr>
        <w:t>- X</w:t>
      </w:r>
      <w:r w:rsidRPr="003674FB">
        <w:rPr>
          <w:sz w:val="22"/>
          <w:szCs w:val="22"/>
          <w:vertAlign w:val="subscript"/>
        </w:rPr>
        <w:t>L2,t-1</w:t>
      </w:r>
      <w:r w:rsidRPr="003674FB">
        <w:rPr>
          <w:sz w:val="22"/>
          <w:szCs w:val="22"/>
        </w:rPr>
        <w:t>))</w:t>
      </w:r>
    </w:p>
    <w:p w14:paraId="0EFCFB5D" w14:textId="77777777" w:rsidR="00F82C91" w:rsidRPr="003674FB" w:rsidRDefault="00F82C91" w:rsidP="00F82C91">
      <w:pPr>
        <w:spacing w:line="360" w:lineRule="auto"/>
        <w:rPr>
          <w:rFonts w:eastAsiaTheme="minorEastAsia"/>
          <w:color w:val="000000" w:themeColor="text1"/>
          <w:sz w:val="22"/>
          <w:szCs w:val="22"/>
        </w:rPr>
      </w:pPr>
    </w:p>
    <w:p w14:paraId="1A43CAEC" w14:textId="77777777" w:rsidR="00F82C91" w:rsidRDefault="00F82C91" w:rsidP="00F82C91">
      <w:pPr>
        <w:spacing w:line="360" w:lineRule="auto"/>
        <w:rPr>
          <w:rFonts w:eastAsiaTheme="minorEastAsia"/>
          <w:sz w:val="22"/>
          <w:szCs w:val="22"/>
        </w:rPr>
      </w:pPr>
      <w:r w:rsidRPr="003674FB">
        <w:rPr>
          <w:rFonts w:eastAsiaTheme="minorEastAsia"/>
          <w:sz w:val="22"/>
          <w:szCs w:val="22"/>
        </w:rPr>
        <w:t xml:space="preserve">For the </w:t>
      </w:r>
      <w:r>
        <w:rPr>
          <w:rFonts w:eastAsiaTheme="minorEastAsia"/>
          <w:sz w:val="22"/>
          <w:szCs w:val="22"/>
        </w:rPr>
        <w:t xml:space="preserve">risk-averse </w:t>
      </w:r>
      <w:r>
        <w:rPr>
          <w:rFonts w:eastAsiaTheme="minorEastAsia"/>
          <w:color w:val="000000" w:themeColor="text1"/>
          <w:sz w:val="22"/>
          <w:szCs w:val="22"/>
          <w:shd w:val="clear" w:color="auto" w:fill="FFFFFF"/>
        </w:rPr>
        <w:t>L</w:t>
      </w:r>
      <w:r>
        <w:rPr>
          <w:rFonts w:eastAsiaTheme="minorEastAsia"/>
          <w:color w:val="000000" w:themeColor="text1"/>
          <w:sz w:val="22"/>
          <w:szCs w:val="22"/>
          <w:shd w:val="clear" w:color="auto" w:fill="FFFFFF"/>
          <w:vertAlign w:val="subscript"/>
        </w:rPr>
        <w:t>2</w:t>
      </w:r>
      <w:r>
        <w:rPr>
          <w:rFonts w:eastAsiaTheme="minorEastAsia"/>
          <w:color w:val="000000" w:themeColor="text1"/>
          <w:sz w:val="22"/>
          <w:szCs w:val="22"/>
          <w:shd w:val="clear" w:color="auto" w:fill="FFFFFF"/>
        </w:rPr>
        <w:t xml:space="preserve"> to pass it must hold that </w:t>
      </w: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m:oMath>
        <m:r>
          <w:rPr>
            <w:rFonts w:ascii="Cambria Math" w:eastAsiaTheme="minorEastAsia" w:hAnsi="Cambria Math"/>
            <w:color w:val="000000" w:themeColor="text1"/>
            <w:sz w:val="22"/>
            <w:szCs w:val="22"/>
            <w:shd w:val="clear" w:color="auto" w:fill="FFFFFF"/>
          </w:rPr>
          <m:t>≥</m:t>
        </m:r>
      </m:oMath>
      <w:r>
        <w:rPr>
          <w:rFonts w:eastAsiaTheme="minorEastAsia"/>
          <w:color w:val="000000" w:themeColor="text1"/>
          <w:sz w:val="22"/>
          <w:szCs w:val="22"/>
          <w:shd w:val="clear" w:color="auto" w:fill="FFFFFF"/>
        </w:rPr>
        <w:t xml:space="preserve"> 0 even if a rival L</w:t>
      </w:r>
      <w:r>
        <w:rPr>
          <w:rFonts w:eastAsiaTheme="minorEastAsia"/>
          <w:color w:val="000000" w:themeColor="text1"/>
          <w:sz w:val="22"/>
          <w:szCs w:val="22"/>
          <w:shd w:val="clear" w:color="auto" w:fill="FFFFFF"/>
          <w:vertAlign w:val="subscript"/>
        </w:rPr>
        <w:t>1</w:t>
      </w:r>
      <w:r>
        <w:rPr>
          <w:rFonts w:eastAsiaTheme="minorEastAsia"/>
          <w:color w:val="000000" w:themeColor="text1"/>
          <w:sz w:val="22"/>
          <w:szCs w:val="22"/>
          <w:shd w:val="clear" w:color="auto" w:fill="FFFFFF"/>
        </w:rPr>
        <w:t xml:space="preserve"> ‘takes’ in a subsequent node, that is</w:t>
      </w:r>
      <w:r>
        <w:rPr>
          <w:rFonts w:eastAsiaTheme="minorEastAsia"/>
          <w:sz w:val="22"/>
          <w:szCs w:val="22"/>
        </w:rPr>
        <w:t xml:space="preserve"> </w:t>
      </w:r>
      <m:oMath>
        <m: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Pr>
          <w:rFonts w:eastAsiaTheme="minorEastAsia"/>
          <w:color w:val="000000" w:themeColor="text1"/>
          <w:sz w:val="22"/>
          <w:szCs w:val="22"/>
          <w:shd w:val="clear" w:color="auto" w:fill="FFFFFF"/>
        </w:rPr>
        <w:t xml:space="preserve"> -</w:t>
      </w:r>
      <w:r w:rsidRPr="003674FB">
        <w:rPr>
          <w:rFonts w:eastAsiaTheme="minorEastAsia"/>
          <w:color w:val="000000" w:themeColor="text1"/>
          <w:sz w:val="22"/>
          <w:szCs w:val="22"/>
          <w:shd w:val="clear" w:color="auto" w:fill="FFFFFF"/>
        </w:rPr>
        <w:t xml:space="preserve"> </w:t>
      </w:r>
      <m:oMath>
        <m:r>
          <w:rPr>
            <w:rFonts w:ascii="Cambria Math" w:eastAsiaTheme="minorEastAsia" w:hAnsi="Cambria Math"/>
            <w:sz w:val="22"/>
            <w:szCs w:val="22"/>
          </w:rPr>
          <m:t>α</m:t>
        </m:r>
      </m:oMath>
      <w:r w:rsidRPr="003674FB">
        <w:rPr>
          <w:rFonts w:eastAsiaTheme="minorEastAsia"/>
          <w:sz w:val="22"/>
          <w:szCs w:val="22"/>
        </w:rPr>
        <w:t>(</w:t>
      </w:r>
      <m:oMath>
        <m:r>
          <m:rPr>
            <m:sty m:val="p"/>
          </m:rPr>
          <w:rPr>
            <w:rFonts w:ascii="Cambria Math" w:eastAsiaTheme="minorEastAsia" w:hAnsi="Cambria Math"/>
            <w:color w:val="000000" w:themeColor="text1"/>
            <w:sz w:val="22"/>
            <w:szCs w:val="22"/>
          </w:rPr>
          <m:t>∆</m:t>
        </m:r>
      </m:oMath>
      <w:r w:rsidRPr="003674FB">
        <w:rPr>
          <w:sz w:val="22"/>
          <w:szCs w:val="22"/>
        </w:rPr>
        <w:t>X</w:t>
      </w:r>
      <w:r w:rsidRPr="003674FB">
        <w:rPr>
          <w:sz w:val="22"/>
          <w:szCs w:val="22"/>
          <w:vertAlign w:val="subscript"/>
        </w:rPr>
        <w:t xml:space="preserve">L1,t </w:t>
      </w:r>
      <w:r w:rsidRPr="003674FB">
        <w:rPr>
          <w:sz w:val="22"/>
          <w:szCs w:val="22"/>
        </w:rPr>
        <w:t xml:space="preserve">- </w:t>
      </w:r>
      <m:oMath>
        <m:r>
          <m:rPr>
            <m:sty m:val="p"/>
          </m:rPr>
          <w:rPr>
            <w:rFonts w:ascii="Cambria Math" w:eastAsiaTheme="minorEastAsia" w:hAnsi="Cambria Math"/>
            <w:color w:val="000000" w:themeColor="text1"/>
            <w:sz w:val="22"/>
            <w:szCs w:val="22"/>
          </w:rPr>
          <m:t>∆</m:t>
        </m:r>
      </m:oMath>
      <w:r w:rsidRPr="003674FB">
        <w:rPr>
          <w:sz w:val="22"/>
          <w:szCs w:val="22"/>
        </w:rPr>
        <w:t>X</w:t>
      </w:r>
      <w:r w:rsidRPr="003674FB">
        <w:rPr>
          <w:sz w:val="22"/>
          <w:szCs w:val="22"/>
          <w:vertAlign w:val="subscript"/>
        </w:rPr>
        <w:t>L2,t</w:t>
      </w:r>
      <w:r w:rsidRPr="003674FB">
        <w:rPr>
          <w:sz w:val="22"/>
          <w:szCs w:val="22"/>
        </w:rPr>
        <w:t>)</w:t>
      </w:r>
      <w:r w:rsidRPr="003674FB">
        <w:rPr>
          <w:rFonts w:eastAsiaTheme="minorEastAsia"/>
          <w:color w:val="000000" w:themeColor="text1"/>
          <w:sz w:val="22"/>
          <w:szCs w:val="22"/>
        </w:rPr>
        <w:t xml:space="preserve"> </w:t>
      </w:r>
      <m:oMath>
        <m:r>
          <w:rPr>
            <w:rFonts w:ascii="Cambria Math" w:eastAsiaTheme="minorEastAsia" w:hAnsi="Cambria Math"/>
            <w:color w:val="000000" w:themeColor="text1"/>
            <w:sz w:val="22"/>
            <w:szCs w:val="22"/>
            <w:shd w:val="clear" w:color="auto" w:fill="FFFFFF"/>
          </w:rPr>
          <m:t>≥</m:t>
        </m:r>
      </m:oMath>
      <w:r w:rsidRPr="003674FB">
        <w:rPr>
          <w:rFonts w:eastAsiaTheme="minorEastAsia"/>
          <w:color w:val="000000" w:themeColor="text1"/>
          <w:sz w:val="22"/>
          <w:szCs w:val="22"/>
          <w:shd w:val="clear" w:color="auto" w:fill="FFFFFF"/>
        </w:rPr>
        <w:t xml:space="preserve"> 0</w:t>
      </w:r>
    </w:p>
    <w:p w14:paraId="35CC72B0" w14:textId="77777777" w:rsidR="00F82C91" w:rsidRPr="00703E6A" w:rsidRDefault="00F82C91" w:rsidP="00F82C91">
      <w:pPr>
        <w:spacing w:line="360" w:lineRule="auto"/>
        <w:rPr>
          <w:rFonts w:eastAsiaTheme="minorEastAsia"/>
          <w:sz w:val="22"/>
          <w:szCs w:val="22"/>
        </w:rPr>
      </w:pPr>
    </w:p>
    <w:p w14:paraId="1B0D3139" w14:textId="2A44DF99" w:rsidR="00967736" w:rsidRDefault="00F82C91" w:rsidP="005C3613">
      <w:pPr>
        <w:spacing w:line="360" w:lineRule="auto"/>
        <w:rPr>
          <w:rFonts w:eastAsiaTheme="minorEastAsia"/>
          <w:shd w:val="clear" w:color="auto" w:fill="FFFFFF"/>
        </w:rPr>
      </w:pPr>
      <w:r w:rsidRPr="003674FB">
        <w:rPr>
          <w:rFonts w:eastAsiaTheme="minorEastAsia"/>
          <w:b/>
          <w:bCs/>
          <w:i/>
          <w:iCs/>
          <w:shd w:val="clear" w:color="auto" w:fill="FFFFFF"/>
        </w:rPr>
        <w:t xml:space="preserve">Proof </w:t>
      </w:r>
      <w:r>
        <w:rPr>
          <w:rFonts w:eastAsiaTheme="minorEastAsia"/>
          <w:b/>
          <w:bCs/>
          <w:i/>
          <w:iCs/>
          <w:shd w:val="clear" w:color="auto" w:fill="FFFFFF"/>
        </w:rPr>
        <w:t>3</w:t>
      </w:r>
      <w:r w:rsidRPr="003674FB">
        <w:rPr>
          <w:rFonts w:eastAsiaTheme="minorEastAsia"/>
          <w:b/>
          <w:bCs/>
          <w:iCs/>
          <w:shd w:val="clear" w:color="auto" w:fill="FFFFFF"/>
        </w:rPr>
        <w:t>:</w:t>
      </w:r>
      <w:r w:rsidRPr="003674FB">
        <w:rPr>
          <w:rFonts w:eastAsiaTheme="minorEastAsia"/>
          <w:bCs/>
          <w:iCs/>
          <w:shd w:val="clear" w:color="auto" w:fill="FFFFFF"/>
        </w:rPr>
        <w:t xml:space="preserve"> </w:t>
      </w:r>
      <w:r w:rsidRPr="00BD7B08">
        <w:rPr>
          <w:rFonts w:eastAsiaTheme="minorEastAsia"/>
          <w:bCs/>
          <w:iCs/>
          <w:shd w:val="clear" w:color="auto" w:fill="FFFFFF"/>
        </w:rPr>
        <w:t xml:space="preserve">If 0 </w:t>
      </w:r>
      <m:oMath>
        <m:r>
          <w:rPr>
            <w:rFonts w:ascii="Cambria Math" w:eastAsiaTheme="minorEastAsia" w:hAnsi="Cambria Math"/>
            <w:vertAlign w:val="subscript"/>
          </w:rPr>
          <m:t>≤</m:t>
        </m:r>
      </m:oMath>
      <w:r w:rsidRPr="00BD7B08">
        <w:rPr>
          <w:rFonts w:eastAsiaTheme="minorEastAsia"/>
          <w:vertAlign w:val="subscript"/>
        </w:rPr>
        <w:t xml:space="preserve"> </w:t>
      </w:r>
      <m:oMath>
        <m:r>
          <m:rPr>
            <m:sty m:val="p"/>
          </m:rPr>
          <w:rPr>
            <w:rFonts w:ascii="Cambria Math" w:eastAsiaTheme="minorEastAsia" w:hAnsi="Cambria Math"/>
            <w:shd w:val="clear" w:color="auto" w:fill="FFFFFF"/>
          </w:rPr>
          <m:t>α</m:t>
        </m:r>
      </m:oMath>
      <w:r>
        <w:rPr>
          <w:rFonts w:eastAsiaTheme="minorEastAsia"/>
          <w:bCs/>
          <w:iCs/>
          <w:shd w:val="clear" w:color="auto" w:fill="FFFFFF"/>
        </w:rPr>
        <w:t xml:space="preserve"> </w:t>
      </w:r>
      <m:oMath>
        <m:r>
          <w:rPr>
            <w:rFonts w:ascii="Cambria Math" w:eastAsiaTheme="minorEastAsia" w:hAnsi="Cambria Math"/>
            <w:vertAlign w:val="subscript"/>
          </w:rPr>
          <m:t>≤</m:t>
        </m:r>
      </m:oMath>
      <w:r w:rsidRPr="00BD7B08">
        <w:rPr>
          <w:rFonts w:eastAsiaTheme="minorEastAsia"/>
          <w:bCs/>
          <w:iCs/>
          <w:shd w:val="clear" w:color="auto" w:fill="FFFFFF"/>
        </w:rPr>
        <w:t xml:space="preserve"> </w:t>
      </w:r>
      <m:oMath>
        <m:f>
          <m:fPr>
            <m:ctrlPr>
              <w:rPr>
                <w:rFonts w:ascii="Cambria Math" w:eastAsiaTheme="minorEastAsia" w:hAnsi="Cambria Math"/>
                <w:bCs/>
                <w:i/>
                <w:iCs/>
                <w:shd w:val="clear" w:color="auto" w:fill="FFFFFF"/>
              </w:rPr>
            </m:ctrlPr>
          </m:fPr>
          <m:num>
            <m:r>
              <w:rPr>
                <w:rFonts w:ascii="Cambria Math" w:eastAsiaTheme="minorEastAsia" w:hAnsi="Cambria Math"/>
                <w:shd w:val="clear" w:color="auto" w:fill="FFFFFF"/>
              </w:rPr>
              <m:t>1</m:t>
            </m:r>
          </m:num>
          <m:den>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den>
        </m:f>
        <m:r>
          <w:rPr>
            <w:rFonts w:ascii="Cambria Math" w:eastAsiaTheme="minorEastAsia" w:hAnsi="Cambria Math"/>
            <w:shd w:val="clear" w:color="auto" w:fill="FFFFFF"/>
          </w:rPr>
          <m:t xml:space="preserve"> </m:t>
        </m:r>
        <m:r>
          <w:rPr>
            <w:rStyle w:val="FootnoteReference"/>
            <w:rFonts w:ascii="Cambria Math" w:eastAsiaTheme="minorEastAsia" w:hAnsi="Cambria Math"/>
            <w:i/>
            <w:shd w:val="clear" w:color="auto" w:fill="FFFFFF"/>
          </w:rPr>
          <w:footnoteReference w:id="41"/>
        </m:r>
      </m:oMath>
      <w:r>
        <w:rPr>
          <w:rFonts w:eastAsiaTheme="minorEastAsia"/>
          <w:bCs/>
          <w:iCs/>
          <w:shd w:val="clear" w:color="auto" w:fill="FFFFFF"/>
        </w:rPr>
        <w:t>,</w:t>
      </w:r>
      <w:r>
        <w:rPr>
          <w:rFonts w:eastAsiaTheme="minorEastAsia"/>
          <w:color w:val="000000" w:themeColor="text1"/>
        </w:rPr>
        <w:t xml:space="preserve"> </w:t>
      </w:r>
      <w:r w:rsidRPr="00BD7B08">
        <w:rPr>
          <w:rFonts w:eastAsiaTheme="minorEastAsia"/>
          <w:bCs/>
          <w:iCs/>
          <w:shd w:val="clear" w:color="auto" w:fill="FFFFFF"/>
        </w:rPr>
        <w:t xml:space="preserve">then </w:t>
      </w:r>
      <m:oMath>
        <m:r>
          <w:rPr>
            <w:rFonts w:ascii="Cambria Math" w:eastAsiaTheme="minorEastAsia" w:hAnsi="Cambria Math"/>
            <w:color w:val="000000" w:themeColor="text1"/>
          </w:rPr>
          <m:t>∆</m:t>
        </m:r>
      </m:oMath>
      <w:r w:rsidRPr="00BD7B08">
        <w:rPr>
          <w:color w:val="000000" w:themeColor="text1"/>
        </w:rPr>
        <w:t>X</w:t>
      </w:r>
      <w:r w:rsidRPr="00BD7B08">
        <w:rPr>
          <w:color w:val="000000" w:themeColor="text1"/>
          <w:vertAlign w:val="subscript"/>
        </w:rPr>
        <w:t xml:space="preserve">L2,t </w:t>
      </w:r>
      <w:r>
        <w:rPr>
          <w:rFonts w:eastAsiaTheme="minorEastAsia"/>
          <w:color w:val="000000" w:themeColor="text1"/>
          <w:shd w:val="clear" w:color="auto" w:fill="FFFFFF"/>
        </w:rPr>
        <w:t>-</w:t>
      </w:r>
      <w:r w:rsidRPr="00E248E8">
        <w:rPr>
          <w:rFonts w:eastAsiaTheme="minorEastAsia"/>
          <w:color w:val="000000" w:themeColor="text1"/>
          <w:shd w:val="clear" w:color="auto" w:fill="FFFFFF"/>
        </w:rPr>
        <w:t xml:space="preserve"> </w:t>
      </w:r>
      <m:oMath>
        <m:r>
          <w:rPr>
            <w:rFonts w:ascii="Cambria Math" w:eastAsiaTheme="minorEastAsia" w:hAnsi="Cambria Math"/>
            <w:color w:val="000000" w:themeColor="text1"/>
          </w:rPr>
          <m:t>α</m:t>
        </m:r>
      </m:oMath>
      <w:r w:rsidRPr="00E248E8">
        <w:rPr>
          <w:rFonts w:eastAsiaTheme="minorEastAsia"/>
          <w:color w:val="000000" w:themeColor="text1"/>
        </w:rPr>
        <w:t>(</w:t>
      </w:r>
      <m:oMath>
        <m:r>
          <m:rPr>
            <m:sty m:val="p"/>
          </m:rPr>
          <w:rPr>
            <w:rFonts w:ascii="Cambria Math" w:eastAsiaTheme="minorEastAsia" w:hAnsi="Cambria Math"/>
            <w:color w:val="000000" w:themeColor="text1"/>
          </w:rPr>
          <m:t>∆</m:t>
        </m:r>
      </m:oMath>
      <w:r w:rsidRPr="00E248E8">
        <w:rPr>
          <w:color w:val="000000" w:themeColor="text1"/>
        </w:rPr>
        <w:t>X</w:t>
      </w:r>
      <w:r w:rsidRPr="00E248E8">
        <w:rPr>
          <w:color w:val="000000" w:themeColor="text1"/>
          <w:vertAlign w:val="subscript"/>
        </w:rPr>
        <w:t xml:space="preserve">L1,t </w:t>
      </w:r>
      <w:r w:rsidRPr="00E248E8">
        <w:rPr>
          <w:color w:val="000000" w:themeColor="text1"/>
        </w:rPr>
        <w:t xml:space="preserve">- </w:t>
      </w:r>
      <m:oMath>
        <m:r>
          <m:rPr>
            <m:sty m:val="p"/>
          </m:rPr>
          <w:rPr>
            <w:rFonts w:ascii="Cambria Math" w:eastAsiaTheme="minorEastAsia" w:hAnsi="Cambria Math"/>
            <w:color w:val="000000" w:themeColor="text1"/>
          </w:rPr>
          <m:t>∆</m:t>
        </m:r>
      </m:oMath>
      <w:r w:rsidRPr="00E248E8">
        <w:rPr>
          <w:color w:val="000000" w:themeColor="text1"/>
        </w:rPr>
        <w:t>X</w:t>
      </w:r>
      <w:r w:rsidRPr="00E248E8">
        <w:rPr>
          <w:color w:val="000000" w:themeColor="text1"/>
          <w:vertAlign w:val="subscript"/>
        </w:rPr>
        <w:t>L2,t</w:t>
      </w:r>
      <w:r w:rsidRPr="00E248E8">
        <w:rPr>
          <w:color w:val="000000" w:themeColor="text1"/>
        </w:rPr>
        <w:t>)</w:t>
      </w:r>
      <w:r w:rsidRPr="00E248E8">
        <w:rPr>
          <w:rFonts w:eastAsiaTheme="minorEastAsia"/>
          <w:color w:val="000000" w:themeColor="text1"/>
        </w:rPr>
        <w:t xml:space="preserve"> </w:t>
      </w:r>
      <m:oMath>
        <m:r>
          <w:rPr>
            <w:rFonts w:ascii="Cambria Math" w:eastAsiaTheme="minorEastAsia" w:hAnsi="Cambria Math"/>
            <w:color w:val="000000" w:themeColor="text1"/>
            <w:shd w:val="clear" w:color="auto" w:fill="FFFFFF"/>
          </w:rPr>
          <m:t>≥</m:t>
        </m:r>
      </m:oMath>
      <w:r w:rsidRPr="00E248E8">
        <w:rPr>
          <w:rFonts w:eastAsiaTheme="minorEastAsia"/>
          <w:color w:val="000000" w:themeColor="text1"/>
          <w:shd w:val="clear" w:color="auto" w:fill="FFFFFF"/>
        </w:rPr>
        <w:t xml:space="preserve"> </w:t>
      </w:r>
      <w:r w:rsidRPr="00BD7B08">
        <w:rPr>
          <w:rFonts w:eastAsiaTheme="minorEastAsia"/>
          <w:color w:val="000000" w:themeColor="text1"/>
          <w:shd w:val="clear" w:color="auto" w:fill="FFFFFF"/>
        </w:rPr>
        <w:t xml:space="preserve">0 and thus, </w:t>
      </w:r>
      <m:oMath>
        <m:r>
          <w:rPr>
            <w:rFonts w:ascii="Cambria Math" w:eastAsiaTheme="minorEastAsia" w:hAnsi="Cambria Math"/>
            <w:color w:val="000000" w:themeColor="text1"/>
          </w:rPr>
          <m:t>∆</m:t>
        </m:r>
      </m:oMath>
      <w:r w:rsidRPr="00BD7B08">
        <w:rPr>
          <w:rFonts w:eastAsiaTheme="minorEastAsia"/>
          <w:color w:val="000000" w:themeColor="text1"/>
          <w:shd w:val="clear" w:color="auto" w:fill="FFFFFF"/>
        </w:rPr>
        <w:t>U</w:t>
      </w:r>
      <w:r w:rsidRPr="00BD7B08">
        <w:rPr>
          <w:rFonts w:eastAsiaTheme="minorEastAsia"/>
          <w:color w:val="000000" w:themeColor="text1"/>
          <w:vertAlign w:val="subscript"/>
        </w:rPr>
        <w:t xml:space="preserve">L2,t </w:t>
      </w:r>
      <m:oMath>
        <m:r>
          <w:rPr>
            <w:rFonts w:ascii="Cambria Math" w:eastAsiaTheme="minorEastAsia" w:hAnsi="Cambria Math"/>
            <w:color w:val="000000" w:themeColor="text1"/>
            <w:shd w:val="clear" w:color="auto" w:fill="FFFFFF"/>
          </w:rPr>
          <m:t>≥</m:t>
        </m:r>
      </m:oMath>
      <w:r w:rsidRPr="00BD7B08">
        <w:rPr>
          <w:rFonts w:eastAsiaTheme="minorEastAsia"/>
          <w:color w:val="000000" w:themeColor="text1"/>
          <w:shd w:val="clear" w:color="auto" w:fill="FFFFFF"/>
        </w:rPr>
        <w:t xml:space="preserve"> 0</w:t>
      </w:r>
      <w:r>
        <w:rPr>
          <w:rFonts w:eastAsiaTheme="minorEastAsia"/>
          <w:color w:val="000000" w:themeColor="text1"/>
          <w:shd w:val="clear" w:color="auto" w:fill="FFFFFF"/>
        </w:rPr>
        <w:t xml:space="preserve"> at all subsequent nodes. </w:t>
      </w:r>
      <w:r>
        <w:rPr>
          <w:rFonts w:eastAsiaTheme="minorEastAsia"/>
          <w:bCs/>
          <w:iCs/>
          <w:shd w:val="clear" w:color="auto" w:fill="FFFFFF"/>
        </w:rPr>
        <w:t xml:space="preserve">A rational </w:t>
      </w:r>
      <w:r w:rsidRPr="00BD7B08">
        <w:rPr>
          <w:rFonts w:eastAsiaTheme="minorEastAsia"/>
          <w:shd w:val="clear" w:color="auto" w:fill="FFFFFF"/>
        </w:rPr>
        <w:t>L</w:t>
      </w:r>
      <w:r w:rsidRPr="00BD7B08">
        <w:rPr>
          <w:rFonts w:eastAsiaTheme="minorEastAsia"/>
          <w:shd w:val="clear" w:color="auto" w:fill="FFFFFF"/>
          <w:vertAlign w:val="subscript"/>
        </w:rPr>
        <w:t>2</w:t>
      </w:r>
      <w:r w:rsidRPr="00BD7B08">
        <w:rPr>
          <w:rFonts w:eastAsiaTheme="minorEastAsia"/>
          <w:shd w:val="clear" w:color="auto" w:fill="FFFFFF"/>
        </w:rPr>
        <w:t>’s best response</w:t>
      </w:r>
      <w:r>
        <w:rPr>
          <w:rFonts w:eastAsiaTheme="minorEastAsia"/>
          <w:shd w:val="clear" w:color="auto" w:fill="FFFFFF"/>
        </w:rPr>
        <w:t xml:space="preserve"> is to always pass. </w:t>
      </w:r>
    </w:p>
    <w:p w14:paraId="0C8AA7CC" w14:textId="77777777" w:rsidR="005C3613" w:rsidRPr="005C3613" w:rsidRDefault="005C3613" w:rsidP="005C3613">
      <w:pPr>
        <w:spacing w:line="360" w:lineRule="auto"/>
        <w:rPr>
          <w:rFonts w:eastAsiaTheme="minorEastAsia"/>
          <w:bCs/>
          <w:iCs/>
          <w:shd w:val="clear" w:color="auto" w:fill="FFFFFF"/>
        </w:rPr>
      </w:pPr>
    </w:p>
    <w:p w14:paraId="5A109BA0" w14:textId="77777777" w:rsidR="00EE0446" w:rsidRPr="007B494D" w:rsidRDefault="00EE0446" w:rsidP="00EE0446">
      <w:pPr>
        <w:spacing w:line="360" w:lineRule="auto"/>
        <w:outlineLvl w:val="0"/>
        <w:rPr>
          <w:rFonts w:eastAsiaTheme="minorEastAsia"/>
          <w:b/>
          <w:color w:val="000000" w:themeColor="text1"/>
          <w:u w:val="single"/>
        </w:rPr>
      </w:pPr>
      <w:r>
        <w:rPr>
          <w:rFonts w:eastAsiaTheme="minorEastAsia"/>
          <w:b/>
          <w:color w:val="000000" w:themeColor="text1"/>
          <w:u w:val="single"/>
        </w:rPr>
        <w:t>Figure 7</w:t>
      </w:r>
      <w:r w:rsidRPr="007B494D">
        <w:rPr>
          <w:rFonts w:eastAsiaTheme="minorEastAsia"/>
          <w:b/>
          <w:color w:val="000000" w:themeColor="text1"/>
          <w:u w:val="single"/>
        </w:rPr>
        <w:t xml:space="preserve">: </w:t>
      </w:r>
      <w:r>
        <w:rPr>
          <w:rFonts w:eastAsiaTheme="minorEastAsia"/>
          <w:b/>
          <w:color w:val="000000" w:themeColor="text1"/>
          <w:u w:val="single"/>
        </w:rPr>
        <w:t xml:space="preserve">Inequity-Aversion </w:t>
      </w:r>
      <w:r w:rsidRPr="001A6E88">
        <w:rPr>
          <w:rFonts w:eastAsiaTheme="minorEastAsia"/>
          <w:b/>
          <w:color w:val="000000" w:themeColor="text1"/>
          <w:u w:val="single"/>
        </w:rPr>
        <w:t>Distribution (Fehr and Schmidt, 1999)</w:t>
      </w:r>
    </w:p>
    <w:p w14:paraId="4A2F2F07" w14:textId="6FFB319A" w:rsidR="00EE0446" w:rsidRDefault="005C3613" w:rsidP="00EE0446">
      <w:pPr>
        <w:spacing w:line="360" w:lineRule="auto"/>
        <w:rPr>
          <w:rFonts w:eastAsiaTheme="minorEastAsia"/>
        </w:rPr>
      </w:pPr>
      <w:r w:rsidRPr="00F52C56">
        <w:rPr>
          <w:rFonts w:eastAsiaTheme="minorEastAsia"/>
          <w:noProof/>
        </w:rPr>
        <w:drawing>
          <wp:inline distT="0" distB="0" distL="0" distR="0" wp14:anchorId="12AADBE8" wp14:editId="3FC3099B">
            <wp:extent cx="5371812" cy="15067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158"/>
                    <a:stretch/>
                  </pic:blipFill>
                  <pic:spPr bwMode="auto">
                    <a:xfrm>
                      <a:off x="0" y="0"/>
                      <a:ext cx="5394562" cy="1513104"/>
                    </a:xfrm>
                    <a:prstGeom prst="rect">
                      <a:avLst/>
                    </a:prstGeom>
                    <a:ln>
                      <a:noFill/>
                    </a:ln>
                    <a:extLst>
                      <a:ext uri="{53640926-AAD7-44D8-BBD7-CCE9431645EC}">
                        <a14:shadowObscured xmlns:a14="http://schemas.microsoft.com/office/drawing/2010/main"/>
                      </a:ext>
                    </a:extLst>
                  </pic:spPr>
                </pic:pic>
              </a:graphicData>
            </a:graphic>
          </wp:inline>
        </w:drawing>
      </w:r>
    </w:p>
    <w:p w14:paraId="14FD5313" w14:textId="17EC8AE8" w:rsidR="00EE0446" w:rsidRPr="000D6283" w:rsidRDefault="00EE0446" w:rsidP="00EE0446">
      <w:pPr>
        <w:spacing w:line="360" w:lineRule="auto"/>
        <w:rPr>
          <w:rFonts w:eastAsiaTheme="minorEastAsia"/>
        </w:rPr>
      </w:pPr>
      <w:r>
        <w:rPr>
          <w:rFonts w:eastAsiaTheme="minorEastAsia"/>
          <w:shd w:val="clear" w:color="auto" w:fill="FFFFFF"/>
        </w:rPr>
        <w:t xml:space="preserve">If the assumptions outlined in </w:t>
      </w:r>
      <w:r>
        <w:rPr>
          <w:rFonts w:eastAsiaTheme="minorEastAsia"/>
          <w:i/>
          <w:shd w:val="clear" w:color="auto" w:fill="FFFFFF"/>
        </w:rPr>
        <w:t>Proof 2</w:t>
      </w:r>
      <w:r>
        <w:rPr>
          <w:rFonts w:eastAsiaTheme="minorEastAsia"/>
          <w:b/>
          <w:i/>
          <w:shd w:val="clear" w:color="auto" w:fill="FFFFFF"/>
        </w:rPr>
        <w:t xml:space="preserve"> </w:t>
      </w:r>
      <w:r>
        <w:rPr>
          <w:rFonts w:eastAsiaTheme="minorEastAsia"/>
          <w:shd w:val="clear" w:color="auto" w:fill="FFFFFF"/>
        </w:rPr>
        <w:t xml:space="preserve">hold, </w:t>
      </w:r>
      <w:r w:rsidRPr="008F7A8E">
        <w:rPr>
          <w:rFonts w:eastAsiaTheme="minorEastAsia"/>
          <w:shd w:val="clear" w:color="auto" w:fill="FFFFFF"/>
        </w:rPr>
        <w:t>and L</w:t>
      </w:r>
      <w:r w:rsidRPr="008F7A8E">
        <w:rPr>
          <w:rFonts w:eastAsiaTheme="minorEastAsia"/>
          <w:shd w:val="clear" w:color="auto" w:fill="FFFFFF"/>
          <w:vertAlign w:val="subscript"/>
        </w:rPr>
        <w:t>2</w:t>
      </w:r>
      <w:r w:rsidRPr="008F7A8E">
        <w:rPr>
          <w:rFonts w:eastAsiaTheme="minorEastAsia"/>
          <w:shd w:val="clear" w:color="auto" w:fill="FFFFFF"/>
        </w:rPr>
        <w:t xml:space="preserve">’s </w:t>
      </w:r>
      <m:oMath>
        <m:r>
          <w:rPr>
            <w:rFonts w:ascii="Cambria Math" w:eastAsiaTheme="minorEastAsia" w:hAnsi="Cambria Math"/>
          </w:rPr>
          <m:t>α</m:t>
        </m:r>
      </m:oMath>
      <w:r w:rsidRPr="008F7A8E">
        <w:rPr>
          <w:rFonts w:eastAsiaTheme="minorEastAsia"/>
        </w:rPr>
        <w:t xml:space="preserve"> lies between </w:t>
      </w:r>
      <w:r w:rsidRPr="008F7A8E">
        <w:rPr>
          <w:rFonts w:eastAsiaTheme="minorEastAsia"/>
          <w:bCs/>
          <w:iCs/>
          <w:shd w:val="clear" w:color="auto" w:fill="FFFFFF"/>
        </w:rPr>
        <w:t xml:space="preserve">0 </w:t>
      </w:r>
      <m:oMath>
        <m:r>
          <w:rPr>
            <w:rFonts w:ascii="Cambria Math" w:eastAsiaTheme="minorEastAsia" w:hAnsi="Cambria Math"/>
            <w:vertAlign w:val="subscript"/>
          </w:rPr>
          <m:t>≤</m:t>
        </m:r>
      </m:oMath>
      <w:r w:rsidRPr="008F7A8E">
        <w:rPr>
          <w:rFonts w:eastAsiaTheme="minorEastAsia"/>
          <w:vertAlign w:val="subscript"/>
        </w:rPr>
        <w:t xml:space="preserve"> </w:t>
      </w:r>
      <m:oMath>
        <m:r>
          <m:rPr>
            <m:sty m:val="p"/>
          </m:rPr>
          <w:rPr>
            <w:rFonts w:ascii="Cambria Math" w:eastAsiaTheme="minorEastAsia" w:hAnsi="Cambria Math"/>
            <w:shd w:val="clear" w:color="auto" w:fill="FFFFFF"/>
          </w:rPr>
          <m:t>α</m:t>
        </m:r>
      </m:oMath>
      <w:r w:rsidRPr="008F7A8E">
        <w:rPr>
          <w:rFonts w:eastAsiaTheme="minorEastAsia"/>
          <w:bCs/>
          <w:iCs/>
          <w:shd w:val="clear" w:color="auto" w:fill="FFFFFF"/>
        </w:rPr>
        <w:t xml:space="preserve"> </w:t>
      </w:r>
      <m:oMath>
        <m:r>
          <w:rPr>
            <w:rFonts w:ascii="Cambria Math" w:eastAsiaTheme="minorEastAsia" w:hAnsi="Cambria Math"/>
            <w:vertAlign w:val="subscript"/>
          </w:rPr>
          <m:t>≤</m:t>
        </m:r>
      </m:oMath>
      <w:r w:rsidRPr="008F7A8E">
        <w:rPr>
          <w:rFonts w:eastAsiaTheme="minorEastAsia"/>
          <w:bCs/>
          <w:iCs/>
          <w:shd w:val="clear" w:color="auto" w:fill="FFFFFF"/>
        </w:rPr>
        <w:t xml:space="preserve"> </w:t>
      </w:r>
      <m:oMath>
        <m:f>
          <m:fPr>
            <m:ctrlPr>
              <w:rPr>
                <w:rFonts w:ascii="Cambria Math" w:eastAsiaTheme="minorEastAsia" w:hAnsi="Cambria Math"/>
                <w:bCs/>
                <w:i/>
                <w:iCs/>
                <w:shd w:val="clear" w:color="auto" w:fill="FFFFFF"/>
              </w:rPr>
            </m:ctrlPr>
          </m:fPr>
          <m:num>
            <m:r>
              <w:rPr>
                <w:rFonts w:ascii="Cambria Math" w:eastAsiaTheme="minorEastAsia" w:hAnsi="Cambria Math"/>
                <w:shd w:val="clear" w:color="auto" w:fill="FFFFFF"/>
              </w:rPr>
              <m:t>1</m:t>
            </m:r>
          </m:num>
          <m:den>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den>
        </m:f>
      </m:oMath>
      <w:r w:rsidRPr="008F7A8E">
        <w:rPr>
          <w:rFonts w:eastAsiaTheme="minorEastAsia"/>
          <w:bCs/>
          <w:iCs/>
          <w:shd w:val="clear" w:color="auto" w:fill="FFFFFF"/>
        </w:rPr>
        <w:t xml:space="preserve">, </w:t>
      </w:r>
      <w:r w:rsidRPr="008F7A8E">
        <w:rPr>
          <w:rFonts w:eastAsiaTheme="minorEastAsia"/>
          <w:color w:val="000000" w:themeColor="text1"/>
        </w:rPr>
        <w:t xml:space="preserve">then a rational </w:t>
      </w:r>
      <w:r w:rsidRPr="008F7A8E">
        <w:rPr>
          <w:rFonts w:eastAsiaTheme="minorEastAsia"/>
        </w:rPr>
        <w:t>L</w:t>
      </w:r>
      <w:r w:rsidRPr="008F7A8E">
        <w:rPr>
          <w:rFonts w:eastAsiaTheme="minorEastAsia"/>
          <w:vertAlign w:val="subscript"/>
        </w:rPr>
        <w:t>2</w:t>
      </w:r>
      <w:r w:rsidRPr="008F7A8E">
        <w:rPr>
          <w:rFonts w:eastAsiaTheme="minorEastAsia"/>
        </w:rPr>
        <w:t xml:space="preserve"> will always pass. As a reference, </w:t>
      </w:r>
      <w:r w:rsidRPr="008F7A8E">
        <w:rPr>
          <w:rFonts w:eastAsiaTheme="minorEastAsia"/>
          <w:b/>
        </w:rPr>
        <w:t>Figure 7</w:t>
      </w:r>
      <w:r w:rsidRPr="008F7A8E">
        <w:rPr>
          <w:rFonts w:eastAsiaTheme="minorEastAsia"/>
        </w:rPr>
        <w:t xml:space="preserve"> presents Fehr and Schmidt’s (1999)</w:t>
      </w:r>
      <w:r>
        <w:rPr>
          <w:rFonts w:eastAsiaTheme="minorEastAsia"/>
        </w:rPr>
        <w:t xml:space="preserve"> suggested simple discrete distribution of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color w:val="000000" w:themeColor="text1"/>
          </w:rPr>
          <m:t>β</m:t>
        </m:r>
      </m:oMath>
      <w:r>
        <w:rPr>
          <w:rFonts w:eastAsiaTheme="minorEastAsia"/>
          <w:color w:val="000000" w:themeColor="text1"/>
        </w:rPr>
        <w:t xml:space="preserve">, based on experimental evidence of the Ultimatum Game. The plausibility of the assumption of </w:t>
      </w:r>
      <m:oMath>
        <m:r>
          <w:rPr>
            <w:rFonts w:ascii="Cambria Math" w:eastAsiaTheme="minorEastAsia" w:hAnsi="Cambria Math"/>
            <w:color w:val="000000" w:themeColor="text1"/>
          </w:rPr>
          <m:t>β</m:t>
        </m:r>
      </m:oMath>
      <w:r>
        <w:rPr>
          <w:rFonts w:eastAsiaTheme="minorEastAsia"/>
          <w:color w:val="000000" w:themeColor="text1"/>
        </w:rPr>
        <w:t xml:space="preserve"> = 0 is verified. Under </w:t>
      </w:r>
      <w:r>
        <w:rPr>
          <w:rFonts w:eastAsiaTheme="minorEastAsia"/>
          <w:b/>
          <w:color w:val="000000" w:themeColor="text1"/>
        </w:rPr>
        <w:t>Proposition 2</w:t>
      </w:r>
      <w:r>
        <w:rPr>
          <w:rFonts w:eastAsiaTheme="minorEastAsia"/>
          <w:color w:val="000000" w:themeColor="text1"/>
        </w:rPr>
        <w:t xml:space="preserve">, </w:t>
      </w:r>
      <w:r w:rsidR="002E6B0B">
        <w:rPr>
          <w:rFonts w:eastAsiaTheme="minorEastAsia"/>
        </w:rPr>
        <w:t>if the ‘t</w:t>
      </w:r>
      <w:r w:rsidR="00BF3069">
        <w:rPr>
          <w:rFonts w:eastAsiaTheme="minorEastAsia"/>
        </w:rPr>
        <w:t>ypical L</w:t>
      </w:r>
      <w:r>
        <w:rPr>
          <w:rFonts w:eastAsiaTheme="minorEastAsia"/>
        </w:rPr>
        <w:t xml:space="preserve">awyer’ </w:t>
      </w:r>
      <w:r>
        <w:rPr>
          <w:rFonts w:eastAsiaTheme="minorEastAsia"/>
          <w:shd w:val="clear" w:color="auto" w:fill="FFFFFF"/>
        </w:rPr>
        <w:t>L</w:t>
      </w:r>
      <w:r>
        <w:rPr>
          <w:rFonts w:eastAsiaTheme="minorEastAsia"/>
          <w:shd w:val="clear" w:color="auto" w:fill="FFFFFF"/>
          <w:vertAlign w:val="subscript"/>
        </w:rPr>
        <w:t xml:space="preserve">2 </w:t>
      </w:r>
      <w:r>
        <w:rPr>
          <w:rFonts w:eastAsiaTheme="minorEastAsia"/>
          <w:shd w:val="clear" w:color="auto" w:fill="FFFFFF"/>
        </w:rPr>
        <w:t xml:space="preserve">is assumed to have </w:t>
      </w:r>
      <m:oMath>
        <m:r>
          <m:rPr>
            <m:sty m:val="p"/>
          </m:rPr>
          <w:rPr>
            <w:rFonts w:ascii="Cambria Math" w:eastAsiaTheme="minorEastAsia" w:hAnsi="Cambria Math"/>
            <w:shd w:val="clear" w:color="auto" w:fill="FFFFFF"/>
          </w:rPr>
          <m:t>α</m:t>
        </m:r>
      </m:oMath>
      <w:r>
        <w:rPr>
          <w:rFonts w:eastAsiaTheme="minorEastAsia"/>
          <w:bCs/>
          <w:iCs/>
          <w:shd w:val="clear" w:color="auto" w:fill="FFFFFF"/>
        </w:rPr>
        <w:t xml:space="preserve"> = 1, L</w:t>
      </w:r>
      <w:r>
        <w:rPr>
          <w:rFonts w:eastAsiaTheme="minorEastAsia"/>
          <w:bCs/>
          <w:iCs/>
          <w:shd w:val="clear" w:color="auto" w:fill="FFFFFF"/>
          <w:vertAlign w:val="subscript"/>
        </w:rPr>
        <w:t xml:space="preserve">2 </w:t>
      </w:r>
      <w:r>
        <w:rPr>
          <w:rFonts w:eastAsiaTheme="minorEastAsia"/>
          <w:bCs/>
          <w:iCs/>
          <w:shd w:val="clear" w:color="auto" w:fill="FFFFFF"/>
        </w:rPr>
        <w:t xml:space="preserve">would overinvest </w:t>
      </w:r>
      <w:r w:rsidR="00BF3069">
        <w:rPr>
          <w:rFonts w:eastAsiaTheme="minorEastAsia"/>
          <w:bCs/>
          <w:iCs/>
          <w:shd w:val="clear" w:color="auto" w:fill="FFFFFF"/>
        </w:rPr>
        <w:t>up to</w:t>
      </w:r>
      <w:r>
        <w:rPr>
          <w:rFonts w:eastAsiaTheme="minorEastAsia"/>
          <w:bCs/>
          <w:iCs/>
          <w:shd w:val="clear" w:color="auto" w:fill="FFFFFF"/>
        </w:rPr>
        <w:t xml:space="preserve"> and including an hourly-rate percentage difference of 100%. </w:t>
      </w:r>
      <w:r>
        <w:rPr>
          <w:rFonts w:eastAsiaTheme="minorEastAsia"/>
          <w:shd w:val="clear" w:color="auto" w:fill="FFFFFF"/>
        </w:rPr>
        <w:t xml:space="preserve">More conservative estimates can be utilised for the ‘typical lawyer’. For instance, if </w:t>
      </w:r>
      <m:oMath>
        <m:r>
          <m:rPr>
            <m:sty m:val="p"/>
          </m:rPr>
          <w:rPr>
            <w:rFonts w:ascii="Cambria Math" w:eastAsiaTheme="minorEastAsia" w:hAnsi="Cambria Math"/>
            <w:shd w:val="clear" w:color="auto" w:fill="FFFFFF"/>
          </w:rPr>
          <m:t>α</m:t>
        </m:r>
      </m:oMath>
      <w:r>
        <w:rPr>
          <w:rFonts w:eastAsiaTheme="minorEastAsia"/>
          <w:shd w:val="clear" w:color="auto" w:fill="FFFFFF"/>
        </w:rPr>
        <w:t xml:space="preserve"> = 4, L</w:t>
      </w:r>
      <w:r w:rsidRPr="00555ED5">
        <w:rPr>
          <w:rFonts w:eastAsiaTheme="minorEastAsia"/>
          <w:shd w:val="clear" w:color="auto" w:fill="FFFFFF"/>
          <w:vertAlign w:val="subscript"/>
        </w:rPr>
        <w:t>2</w:t>
      </w:r>
      <w:r>
        <w:rPr>
          <w:rFonts w:eastAsiaTheme="minorEastAsia"/>
          <w:shd w:val="clear" w:color="auto" w:fill="FFFFFF"/>
          <w:vertAlign w:val="subscript"/>
        </w:rPr>
        <w:t xml:space="preserve"> </w:t>
      </w:r>
      <w:r>
        <w:rPr>
          <w:rFonts w:eastAsiaTheme="minorEastAsia"/>
        </w:rPr>
        <w:t xml:space="preserve">would overinvest </w:t>
      </w:r>
      <w:r w:rsidR="00BF3069">
        <w:rPr>
          <w:rFonts w:eastAsiaTheme="minorEastAsia"/>
        </w:rPr>
        <w:t>up to</w:t>
      </w:r>
      <w:r>
        <w:rPr>
          <w:rFonts w:eastAsiaTheme="minorEastAsia"/>
        </w:rPr>
        <w:t xml:space="preserve"> and including an hourly-rate percentage difference of 25%. If the relationship between </w:t>
      </w:r>
      <m:oMath>
        <m:r>
          <m:rPr>
            <m:sty m:val="p"/>
          </m:rPr>
          <w:rPr>
            <w:rFonts w:ascii="Cambria Math" w:eastAsiaTheme="minorEastAsia" w:hAnsi="Cambria Math"/>
          </w:rPr>
          <m:t>α</m:t>
        </m:r>
      </m:oMath>
      <w:r w:rsidRPr="00292FCE">
        <w:rPr>
          <w:rFonts w:eastAsiaTheme="minorEastAsia"/>
        </w:rPr>
        <w:t xml:space="preserve"> and </w:t>
      </w:r>
      <m:oMath>
        <m:r>
          <m:rPr>
            <m:sty m:val="p"/>
          </m:rPr>
          <w:rPr>
            <w:rFonts w:ascii="Cambria Math" w:eastAsiaTheme="minorEastAsia" w:hAnsi="Cambria Math"/>
          </w:rPr>
          <m:t>%∆X</m:t>
        </m:r>
      </m:oMath>
      <w:r w:rsidRPr="00292FCE">
        <w:rPr>
          <w:rFonts w:eastAsiaTheme="minorEastAsia"/>
        </w:rPr>
        <w:t xml:space="preserve"> holds, then</w:t>
      </w:r>
      <w:r>
        <w:rPr>
          <w:rFonts w:eastAsiaTheme="minorEastAsia"/>
          <w:color w:val="000000" w:themeColor="text1"/>
        </w:rPr>
        <w:t xml:space="preserve"> ceteris paribus, lawyers are predicted to overinvest despite unequal compensation-rates. </w:t>
      </w:r>
    </w:p>
    <w:p w14:paraId="5568ADC2" w14:textId="77777777" w:rsidR="00EE0446" w:rsidRDefault="00EE0446" w:rsidP="00EE0446">
      <w:pPr>
        <w:spacing w:line="360" w:lineRule="auto"/>
        <w:rPr>
          <w:rFonts w:eastAsiaTheme="minorEastAsia"/>
        </w:rPr>
      </w:pPr>
    </w:p>
    <w:p w14:paraId="2BDECB9C" w14:textId="77777777" w:rsidR="00EE0446" w:rsidRDefault="00EE0446" w:rsidP="00EE0446">
      <w:pPr>
        <w:spacing w:line="360" w:lineRule="auto"/>
        <w:rPr>
          <w:rFonts w:eastAsiaTheme="minorEastAsia"/>
          <w:shd w:val="clear" w:color="auto" w:fill="FFFFFF"/>
        </w:rPr>
      </w:pPr>
      <w:r>
        <w:rPr>
          <w:rFonts w:eastAsiaTheme="minorEastAsia"/>
          <w:bCs/>
          <w:iCs/>
          <w:color w:val="000000" w:themeColor="text1"/>
          <w:shd w:val="clear" w:color="auto" w:fill="FFFFFF"/>
        </w:rPr>
        <w:t xml:space="preserve">If </w:t>
      </w:r>
      <m:oMath>
        <m:r>
          <m:rPr>
            <m:sty m:val="p"/>
          </m:rPr>
          <w:rPr>
            <w:rFonts w:ascii="Cambria Math" w:eastAsiaTheme="minorEastAsia" w:hAnsi="Cambria Math"/>
            <w:shd w:val="clear" w:color="auto" w:fill="FFFFFF"/>
          </w:rPr>
          <m:t>α</m:t>
        </m:r>
      </m:oMath>
      <w:r>
        <w:rPr>
          <w:rFonts w:eastAsiaTheme="minorEastAsia"/>
          <w:shd w:val="clear" w:color="auto" w:fill="FFFFFF"/>
        </w:rPr>
        <w:t xml:space="preserve"> &gt; </w:t>
      </w:r>
      <m:oMath>
        <m:f>
          <m:fPr>
            <m:ctrlPr>
              <w:rPr>
                <w:rFonts w:ascii="Cambria Math" w:eastAsiaTheme="minorEastAsia" w:hAnsi="Cambria Math"/>
                <w:bCs/>
                <w:i/>
                <w:iCs/>
                <w:shd w:val="clear" w:color="auto" w:fill="FFFFFF"/>
              </w:rPr>
            </m:ctrlPr>
          </m:fPr>
          <m:num>
            <m:r>
              <w:rPr>
                <w:rFonts w:ascii="Cambria Math" w:eastAsiaTheme="minorEastAsia" w:hAnsi="Cambria Math"/>
                <w:shd w:val="clear" w:color="auto" w:fill="FFFFFF"/>
              </w:rPr>
              <m:t>1</m:t>
            </m:r>
          </m:num>
          <m:den>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den>
        </m:f>
      </m:oMath>
      <w:r>
        <w:rPr>
          <w:rFonts w:eastAsiaTheme="minorEastAsia"/>
          <w:bCs/>
          <w:iCs/>
          <w:shd w:val="clear" w:color="auto" w:fill="FFFFFF"/>
        </w:rPr>
        <w:t xml:space="preserve"> then a rational </w:t>
      </w:r>
      <w:r>
        <w:rPr>
          <w:rFonts w:eastAsiaTheme="minorEastAsia"/>
        </w:rPr>
        <w:t>L</w:t>
      </w:r>
      <w:r w:rsidRPr="008E587B">
        <w:rPr>
          <w:rFonts w:eastAsiaTheme="minorEastAsia"/>
          <w:vertAlign w:val="subscript"/>
        </w:rPr>
        <w:t>2</w:t>
      </w:r>
      <w:r>
        <w:rPr>
          <w:rFonts w:eastAsiaTheme="minorEastAsia"/>
        </w:rPr>
        <w:t xml:space="preserve"> will terminate at their first decision-node resulting in underinvestment. In an experimental-setting, it is postulated that the greater the inequity in hourly-rates, the more likely </w:t>
      </w:r>
      <w:r w:rsidRPr="00CF5212">
        <w:rPr>
          <w:rFonts w:eastAsiaTheme="minorEastAsia"/>
        </w:rPr>
        <w:t xml:space="preserve">lawyers will underinvest, given the increased likelihood of their </w:t>
      </w:r>
      <m:oMath>
        <m:r>
          <w:rPr>
            <w:rFonts w:ascii="Cambria Math" w:eastAsiaTheme="minorEastAsia" w:hAnsi="Cambria Math"/>
          </w:rPr>
          <m:t>α</m:t>
        </m:r>
      </m:oMath>
      <w:r w:rsidRPr="00CF5212">
        <w:rPr>
          <w:rFonts w:eastAsiaTheme="minorEastAsia"/>
        </w:rPr>
        <w:t xml:space="preserve"> exceeding the </w:t>
      </w:r>
      <w:r w:rsidRPr="003A2F6A">
        <w:rPr>
          <w:rFonts w:eastAsiaTheme="minorEastAsia"/>
        </w:rPr>
        <w:t xml:space="preserve">increasingly lower upper bound alpha. </w:t>
      </w:r>
      <w:r w:rsidRPr="003A2F6A">
        <w:rPr>
          <w:rFonts w:eastAsiaTheme="minorEastAsia"/>
          <w:shd w:val="clear" w:color="auto" w:fill="FFFFFF"/>
        </w:rPr>
        <w:t>Consistent with Loewenstein, Thompson and Bazerman (1989), this implies</w:t>
      </w:r>
      <w:r w:rsidRPr="00CF5212">
        <w:rPr>
          <w:rFonts w:eastAsiaTheme="minorEastAsia"/>
          <w:shd w:val="clear" w:color="auto" w:fill="FFFFFF"/>
        </w:rPr>
        <w:t xml:space="preserve"> that disadvantageous</w:t>
      </w:r>
      <w:r w:rsidRPr="002B2684">
        <w:rPr>
          <w:rFonts w:eastAsiaTheme="minorEastAsia"/>
          <w:shd w:val="clear" w:color="auto" w:fill="FFFFFF"/>
        </w:rPr>
        <w:t xml:space="preserve"> inequity</w:t>
      </w:r>
      <w:r>
        <w:rPr>
          <w:rFonts w:eastAsiaTheme="minorEastAsia"/>
          <w:shd w:val="clear" w:color="auto" w:fill="FFFFFF"/>
        </w:rPr>
        <w:t xml:space="preserve"> could restrict a</w:t>
      </w:r>
    </w:p>
    <w:p w14:paraId="1D35FB3D" w14:textId="77777777" w:rsidR="00EE0446" w:rsidRPr="004A35CA" w:rsidRDefault="00EE0446" w:rsidP="00EE0446">
      <w:pPr>
        <w:spacing w:line="360" w:lineRule="auto"/>
        <w:rPr>
          <w:rFonts w:eastAsiaTheme="minorEastAsia"/>
        </w:rPr>
      </w:pPr>
      <w:r w:rsidRPr="003674FB">
        <w:rPr>
          <w:rFonts w:eastAsiaTheme="minorEastAsia"/>
          <w:shd w:val="clear" w:color="auto" w:fill="FFFFFF"/>
        </w:rPr>
        <w:t>lawyer’s propensity to engage with the time-</w:t>
      </w:r>
      <w:r w:rsidRPr="003674FB">
        <w:rPr>
          <w:rFonts w:eastAsiaTheme="minorEastAsia"/>
          <w:color w:val="000000" w:themeColor="text1"/>
          <w:shd w:val="clear" w:color="auto" w:fill="FFFFFF"/>
        </w:rPr>
        <w:t>consuming value-creation process, even if this is contradictory to their monetary self-interest.</w:t>
      </w:r>
      <w:r>
        <w:rPr>
          <w:rFonts w:eastAsiaTheme="minorEastAsia"/>
          <w:color w:val="000000" w:themeColor="text1"/>
          <w:shd w:val="clear" w:color="auto" w:fill="FFFFFF"/>
        </w:rPr>
        <w:t xml:space="preserve"> </w:t>
      </w:r>
    </w:p>
    <w:p w14:paraId="3AF4054A" w14:textId="77777777" w:rsidR="00EE0446" w:rsidRPr="000C60BD" w:rsidRDefault="00EE0446" w:rsidP="00EE0446">
      <w:pPr>
        <w:spacing w:line="360" w:lineRule="auto"/>
        <w:rPr>
          <w:rFonts w:eastAsiaTheme="minorEastAsia"/>
          <w:bCs/>
          <w:iCs/>
          <w:shd w:val="clear" w:color="auto" w:fill="FFFFFF"/>
        </w:rPr>
      </w:pPr>
    </w:p>
    <w:p w14:paraId="3E7BAF37" w14:textId="77777777" w:rsidR="00EE0446" w:rsidRPr="00980D24" w:rsidRDefault="00EE0446" w:rsidP="00EE0446">
      <w:pPr>
        <w:spacing w:line="360" w:lineRule="auto"/>
        <w:rPr>
          <w:rFonts w:eastAsiaTheme="minorEastAsia"/>
          <w:bCs/>
          <w:iCs/>
          <w:shd w:val="clear" w:color="auto" w:fill="FFFFFF"/>
        </w:rPr>
      </w:pPr>
      <w:r w:rsidRPr="003674FB">
        <w:rPr>
          <w:rFonts w:eastAsiaTheme="minorEastAsia"/>
          <w:b/>
          <w:i/>
          <w:shd w:val="clear" w:color="auto" w:fill="FFFFFF"/>
        </w:rPr>
        <w:t xml:space="preserve">Welfare Implications: </w:t>
      </w:r>
      <w:r>
        <w:rPr>
          <w:rFonts w:eastAsiaTheme="minorEastAsia"/>
          <w:shd w:val="clear" w:color="auto" w:fill="FFFFFF"/>
        </w:rPr>
        <w:t xml:space="preserve">If </w:t>
      </w:r>
      <w:r w:rsidRPr="008E587B">
        <w:rPr>
          <w:rFonts w:eastAsiaTheme="minorEastAsia"/>
          <w:bCs/>
          <w:iCs/>
          <w:shd w:val="clear" w:color="auto" w:fill="FFFFFF"/>
        </w:rPr>
        <w:t xml:space="preserve">0 </w:t>
      </w:r>
      <m:oMath>
        <m:r>
          <w:rPr>
            <w:rFonts w:ascii="Cambria Math" w:eastAsiaTheme="minorEastAsia" w:hAnsi="Cambria Math"/>
            <w:vertAlign w:val="subscript"/>
          </w:rPr>
          <m:t>≤</m:t>
        </m:r>
      </m:oMath>
      <w:r w:rsidRPr="008E587B">
        <w:rPr>
          <w:rFonts w:eastAsiaTheme="minorEastAsia"/>
          <w:vertAlign w:val="subscript"/>
        </w:rPr>
        <w:t xml:space="preserve"> </w:t>
      </w:r>
      <m:oMath>
        <m:r>
          <m:rPr>
            <m:sty m:val="p"/>
          </m:rPr>
          <w:rPr>
            <w:rFonts w:ascii="Cambria Math" w:eastAsiaTheme="minorEastAsia" w:hAnsi="Cambria Math"/>
            <w:shd w:val="clear" w:color="auto" w:fill="FFFFFF"/>
          </w:rPr>
          <m:t>α</m:t>
        </m:r>
      </m:oMath>
      <w:r w:rsidRPr="008E587B">
        <w:rPr>
          <w:rFonts w:eastAsiaTheme="minorEastAsia"/>
          <w:bCs/>
          <w:iCs/>
          <w:shd w:val="clear" w:color="auto" w:fill="FFFFFF"/>
        </w:rPr>
        <w:t xml:space="preserve"> </w:t>
      </w:r>
      <m:oMath>
        <m:r>
          <w:rPr>
            <w:rFonts w:ascii="Cambria Math" w:eastAsiaTheme="minorEastAsia" w:hAnsi="Cambria Math"/>
            <w:vertAlign w:val="subscript"/>
          </w:rPr>
          <m:t>≤</m:t>
        </m:r>
      </m:oMath>
      <w:r w:rsidRPr="008E587B">
        <w:rPr>
          <w:rFonts w:eastAsiaTheme="minorEastAsia"/>
          <w:bCs/>
          <w:iCs/>
          <w:shd w:val="clear" w:color="auto" w:fill="FFFFFF"/>
        </w:rPr>
        <w:t xml:space="preserve"> </w:t>
      </w:r>
      <m:oMath>
        <m:f>
          <m:fPr>
            <m:ctrlPr>
              <w:rPr>
                <w:rFonts w:ascii="Cambria Math" w:eastAsiaTheme="minorEastAsia" w:hAnsi="Cambria Math"/>
                <w:bCs/>
                <w:i/>
                <w:iCs/>
                <w:shd w:val="clear" w:color="auto" w:fill="FFFFFF"/>
              </w:rPr>
            </m:ctrlPr>
          </m:fPr>
          <m:num>
            <m:r>
              <w:rPr>
                <w:rFonts w:ascii="Cambria Math" w:eastAsiaTheme="minorEastAsia" w:hAnsi="Cambria Math"/>
                <w:shd w:val="clear" w:color="auto" w:fill="FFFFFF"/>
              </w:rPr>
              <m:t>1</m:t>
            </m:r>
          </m:num>
          <m:den>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den>
        </m:f>
      </m:oMath>
      <w:r>
        <w:rPr>
          <w:rFonts w:eastAsiaTheme="minorEastAsia"/>
          <w:bCs/>
          <w:iCs/>
          <w:shd w:val="clear" w:color="auto" w:fill="FFFFFF"/>
        </w:rPr>
        <w:t xml:space="preserve"> then the game will terminate at t=8 where total client welfare (225) is lower than the client welfare maximising outcome (270). If </w:t>
      </w:r>
      <m:oMath>
        <m:r>
          <m:rPr>
            <m:sty m:val="p"/>
          </m:rPr>
          <w:rPr>
            <w:rFonts w:ascii="Cambria Math" w:eastAsiaTheme="minorEastAsia" w:hAnsi="Cambria Math"/>
            <w:shd w:val="clear" w:color="auto" w:fill="FFFFFF"/>
          </w:rPr>
          <m:t>α</m:t>
        </m:r>
      </m:oMath>
      <w:r>
        <w:rPr>
          <w:rFonts w:eastAsiaTheme="minorEastAsia"/>
          <w:shd w:val="clear" w:color="auto" w:fill="FFFFFF"/>
        </w:rPr>
        <w:t xml:space="preserve"> &gt; </w:t>
      </w:r>
      <m:oMath>
        <m:f>
          <m:fPr>
            <m:ctrlPr>
              <w:rPr>
                <w:rFonts w:ascii="Cambria Math" w:eastAsiaTheme="minorEastAsia" w:hAnsi="Cambria Math"/>
                <w:bCs/>
                <w:i/>
                <w:iCs/>
                <w:shd w:val="clear" w:color="auto" w:fill="FFFFFF"/>
              </w:rPr>
            </m:ctrlPr>
          </m:fPr>
          <m:num>
            <m:r>
              <w:rPr>
                <w:rFonts w:ascii="Cambria Math" w:eastAsiaTheme="minorEastAsia" w:hAnsi="Cambria Math"/>
                <w:shd w:val="clear" w:color="auto" w:fill="FFFFFF"/>
              </w:rPr>
              <m:t>1</m:t>
            </m:r>
          </m:num>
          <m:den>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den>
        </m:f>
      </m:oMath>
      <w:r>
        <w:rPr>
          <w:rFonts w:eastAsiaTheme="minorEastAsia"/>
          <w:bCs/>
          <w:iCs/>
          <w:shd w:val="clear" w:color="auto" w:fill="FFFFFF"/>
        </w:rPr>
        <w:t xml:space="preserve"> then the game will terminate at t=1, where total client welfare (120) is less than the client welfare maximising outcome.</w:t>
      </w:r>
    </w:p>
    <w:p w14:paraId="29FDA7D3" w14:textId="77777777" w:rsidR="00EE0446" w:rsidRPr="00354289" w:rsidRDefault="00EE0446" w:rsidP="00EE0446">
      <w:pPr>
        <w:spacing w:line="360" w:lineRule="auto"/>
        <w:rPr>
          <w:rFonts w:eastAsiaTheme="minorEastAsia"/>
          <w:color w:val="000000" w:themeColor="text1"/>
          <w:shd w:val="clear" w:color="auto" w:fill="FFFFFF"/>
        </w:rPr>
      </w:pPr>
    </w:p>
    <w:p w14:paraId="031C1123" w14:textId="77777777" w:rsidR="00EE0446" w:rsidRPr="00354289" w:rsidRDefault="00EE0446" w:rsidP="00EE0446">
      <w:pPr>
        <w:spacing w:line="360" w:lineRule="auto"/>
        <w:rPr>
          <w:rFonts w:eastAsiaTheme="minorEastAsia"/>
          <w:b/>
          <w:color w:val="000000" w:themeColor="text1"/>
          <w:shd w:val="clear" w:color="auto" w:fill="FFFFFF"/>
        </w:rPr>
      </w:pPr>
      <w:r w:rsidRPr="00354289">
        <w:rPr>
          <w:rFonts w:eastAsiaTheme="minorEastAsia"/>
          <w:b/>
          <w:color w:val="000000" w:themeColor="text1"/>
          <w:shd w:val="clear" w:color="auto" w:fill="FFFFFF"/>
        </w:rPr>
        <w:t>P</w:t>
      </w:r>
      <w:r>
        <w:rPr>
          <w:rFonts w:eastAsiaTheme="minorEastAsia"/>
          <w:b/>
          <w:color w:val="000000" w:themeColor="text1"/>
          <w:shd w:val="clear" w:color="auto" w:fill="FFFFFF"/>
        </w:rPr>
        <w:t xml:space="preserve">roposition </w:t>
      </w:r>
      <w:r w:rsidRPr="00354289">
        <w:rPr>
          <w:rFonts w:eastAsiaTheme="minorEastAsia"/>
          <w:b/>
          <w:color w:val="000000" w:themeColor="text1"/>
          <w:shd w:val="clear" w:color="auto" w:fill="FFFFFF"/>
        </w:rPr>
        <w:t xml:space="preserve">3: The typical lawyer will overinvest when earning equal hourly-rates despite reputational incentives. </w:t>
      </w:r>
    </w:p>
    <w:p w14:paraId="66CA2A21" w14:textId="77777777" w:rsidR="00EE0446" w:rsidRPr="00BE6EC7" w:rsidRDefault="00EE0446" w:rsidP="00EE0446">
      <w:pPr>
        <w:spacing w:line="360" w:lineRule="auto"/>
        <w:rPr>
          <w:rFonts w:eastAsiaTheme="minorEastAsia"/>
          <w:color w:val="000000" w:themeColor="text1"/>
        </w:rPr>
      </w:pPr>
      <w:r w:rsidRPr="003674FB">
        <w:rPr>
          <w:rFonts w:eastAsiaTheme="minorEastAsia"/>
          <w:bCs/>
          <w:iCs/>
          <w:shd w:val="clear" w:color="auto" w:fill="FFFFFF"/>
        </w:rPr>
        <w:t>Equal hourly-rates means</w:t>
      </w:r>
      <w:r w:rsidRPr="003674FB">
        <w:rPr>
          <w:rFonts w:eastAsiaTheme="minorEastAsia"/>
        </w:rPr>
        <w:t xml:space="preserve"> </w:t>
      </w:r>
      <m:oMath>
        <m:r>
          <w:rPr>
            <w:rFonts w:ascii="Cambria Math" w:eastAsiaTheme="minorEastAsia" w:hAnsi="Cambria Math"/>
          </w:rPr>
          <m:t>α</m:t>
        </m:r>
      </m:oMath>
      <w:r w:rsidRPr="003674FB">
        <w:rPr>
          <w:rFonts w:eastAsiaTheme="minorEastAsia"/>
        </w:rPr>
        <w:t>(</w:t>
      </w:r>
      <w:r w:rsidRPr="003674FB">
        <w:t>X</w:t>
      </w:r>
      <w:r w:rsidRPr="003674FB">
        <w:rPr>
          <w:vertAlign w:val="subscript"/>
        </w:rPr>
        <w:t xml:space="preserve">L1,t </w:t>
      </w:r>
      <w:r w:rsidRPr="003674FB">
        <w:t>– X</w:t>
      </w:r>
      <w:r w:rsidRPr="003674FB">
        <w:rPr>
          <w:vertAlign w:val="subscript"/>
        </w:rPr>
        <w:t>L2,t</w:t>
      </w:r>
      <w:r w:rsidRPr="003674FB">
        <w:t>)</w:t>
      </w:r>
      <w:r w:rsidRPr="003674FB">
        <w:rPr>
          <w:rFonts w:eastAsiaTheme="minorEastAsia"/>
        </w:rPr>
        <w:t xml:space="preserve"> = 0 and </w:t>
      </w:r>
      <m:oMath>
        <m:r>
          <w:rPr>
            <w:rFonts w:ascii="Cambria Math" w:eastAsiaTheme="minorEastAsia" w:hAnsi="Cambria Math"/>
          </w:rPr>
          <m:t>β</m:t>
        </m:r>
      </m:oMath>
      <w:r w:rsidRPr="003674FB">
        <w:rPr>
          <w:rFonts w:eastAsiaTheme="minorEastAsia"/>
        </w:rPr>
        <w:t>(X</w:t>
      </w:r>
      <w:r w:rsidRPr="003674FB">
        <w:rPr>
          <w:rFonts w:eastAsiaTheme="minorEastAsia"/>
          <w:vertAlign w:val="subscript"/>
        </w:rPr>
        <w:t xml:space="preserve">L2,t </w:t>
      </w:r>
      <w:r w:rsidRPr="003674FB">
        <w:rPr>
          <w:rFonts w:eastAsiaTheme="minorEastAsia"/>
        </w:rPr>
        <w:t>– X</w:t>
      </w:r>
      <w:r w:rsidRPr="003674FB">
        <w:rPr>
          <w:rFonts w:eastAsiaTheme="minorEastAsia"/>
          <w:vertAlign w:val="subscript"/>
        </w:rPr>
        <w:t>L1,t</w:t>
      </w:r>
      <w:r w:rsidRPr="003674FB">
        <w:rPr>
          <w:rFonts w:eastAsiaTheme="minorEastAsia"/>
        </w:rPr>
        <w:t xml:space="preserve">) = 0. </w:t>
      </w:r>
      <w:r>
        <w:rPr>
          <w:rFonts w:eastAsiaTheme="minorEastAsia"/>
        </w:rPr>
        <w:t xml:space="preserve">Reputational incentives, </w:t>
      </w:r>
      <w:r w:rsidRPr="003674FB">
        <w:rPr>
          <w:rFonts w:eastAsiaTheme="minorEastAsia"/>
        </w:rPr>
        <w:t>r(D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w:t>
      </w:r>
      <w:r>
        <w:rPr>
          <w:rFonts w:eastAsiaTheme="minorEastAsia"/>
        </w:rPr>
        <w:t xml:space="preserve"> are now introduced. Parameter </w:t>
      </w:r>
      <w:r>
        <w:rPr>
          <w:rFonts w:eastAsiaTheme="minorEastAsia"/>
          <w:i/>
        </w:rPr>
        <w:t>r</w:t>
      </w:r>
      <w:r>
        <w:rPr>
          <w:rFonts w:eastAsiaTheme="minorEastAsia"/>
        </w:rPr>
        <w:t xml:space="preserve"> is assumed to be of low intensity given the low publicity/awareness associated with pre-trial settlements, denoted by </w:t>
      </w:r>
      <w:r w:rsidRPr="00C90006">
        <w:rPr>
          <w:rFonts w:eastAsiaTheme="minorEastAsia"/>
          <w:i/>
          <w:color w:val="000000" w:themeColor="text1"/>
        </w:rPr>
        <w:t>r</w:t>
      </w:r>
      <w:r w:rsidRPr="00C90006">
        <w:rPr>
          <w:rFonts w:eastAsiaTheme="minorEastAsia"/>
          <w:color w:val="000000" w:themeColor="text1"/>
          <w:vertAlign w:val="subscript"/>
        </w:rPr>
        <w:t>s</w:t>
      </w:r>
      <w:r>
        <w:rPr>
          <w:rFonts w:eastAsiaTheme="minorEastAsia"/>
          <w:color w:val="000000" w:themeColor="text1"/>
        </w:rPr>
        <w:t xml:space="preserve">. This is consistent with the fact that most divorce </w:t>
      </w:r>
      <w:r w:rsidRPr="00CF5212">
        <w:rPr>
          <w:rFonts w:eastAsiaTheme="minorEastAsia"/>
          <w:color w:val="000000" w:themeColor="text1"/>
        </w:rPr>
        <w:t xml:space="preserve">settlements are private (Hersch, 2003). </w:t>
      </w:r>
      <w:r w:rsidRPr="00CF5212">
        <w:rPr>
          <w:rFonts w:eastAsiaTheme="minorEastAsia"/>
          <w:b/>
        </w:rPr>
        <w:t>UF</w:t>
      </w:r>
      <w:r w:rsidRPr="003674FB">
        <w:rPr>
          <w:rFonts w:eastAsiaTheme="minorEastAsia"/>
          <w:b/>
        </w:rPr>
        <w:t xml:space="preserve"> (8) </w:t>
      </w:r>
      <w:r w:rsidRPr="003674FB">
        <w:rPr>
          <w:rFonts w:eastAsiaTheme="minorEastAsia"/>
        </w:rPr>
        <w:t>presents L</w:t>
      </w:r>
      <w:r w:rsidRPr="003674FB">
        <w:rPr>
          <w:rFonts w:eastAsiaTheme="minorEastAsia"/>
          <w:vertAlign w:val="subscript"/>
        </w:rPr>
        <w:t>2</w:t>
      </w:r>
      <w:r w:rsidRPr="003674FB">
        <w:rPr>
          <w:rFonts w:eastAsiaTheme="minorEastAsia"/>
        </w:rPr>
        <w:t xml:space="preserve">’s utility at node t, under </w:t>
      </w:r>
      <w:r w:rsidRPr="003674FB">
        <w:rPr>
          <w:rFonts w:eastAsiaTheme="minorEastAsia"/>
          <w:b/>
        </w:rPr>
        <w:t>P</w:t>
      </w:r>
      <w:r>
        <w:rPr>
          <w:rFonts w:eastAsiaTheme="minorEastAsia"/>
          <w:b/>
        </w:rPr>
        <w:t xml:space="preserve">roposition </w:t>
      </w:r>
      <w:r w:rsidRPr="003674FB">
        <w:rPr>
          <w:rFonts w:eastAsiaTheme="minorEastAsia"/>
          <w:b/>
        </w:rPr>
        <w:t xml:space="preserve">3. </w:t>
      </w:r>
    </w:p>
    <w:p w14:paraId="74BF1997" w14:textId="77777777" w:rsidR="00EE0446" w:rsidRPr="003674FB" w:rsidRDefault="00EE0446" w:rsidP="00EE0446">
      <w:pPr>
        <w:spacing w:line="360" w:lineRule="auto"/>
        <w:rPr>
          <w:rFonts w:eastAsiaTheme="minorEastAsia"/>
          <w:shd w:val="clear" w:color="auto" w:fill="FFFFFF"/>
        </w:rPr>
      </w:pPr>
    </w:p>
    <w:p w14:paraId="6245B262" w14:textId="1F1F79D0" w:rsidR="00EE0446" w:rsidRPr="003674FB" w:rsidRDefault="00EE0446" w:rsidP="00EE0446">
      <w:pPr>
        <w:spacing w:line="360" w:lineRule="auto"/>
        <w:rPr>
          <w:rFonts w:eastAsiaTheme="minorEastAsia"/>
          <w:b/>
          <w:color w:val="000000" w:themeColor="text1"/>
        </w:rPr>
      </w:pPr>
      <w:r w:rsidRPr="003674FB">
        <w:rPr>
          <w:rFonts w:eastAsiaTheme="minorEastAsia"/>
          <w:b/>
          <w:shd w:val="clear" w:color="auto" w:fill="FFFFFF"/>
        </w:rPr>
        <w:t>U</w:t>
      </w:r>
      <w:r w:rsidRPr="003674FB">
        <w:rPr>
          <w:rFonts w:eastAsiaTheme="minorEastAsia"/>
          <w:b/>
          <w:vertAlign w:val="subscript"/>
        </w:rPr>
        <w:t xml:space="preserve">L2,t </w:t>
      </w:r>
      <w:r w:rsidRPr="003674FB">
        <w:rPr>
          <w:rFonts w:eastAsiaTheme="minorEastAsia"/>
        </w:rPr>
        <w:t>(X</w:t>
      </w:r>
      <w:r w:rsidRPr="003674FB">
        <w:rPr>
          <w:rFonts w:eastAsiaTheme="minorEastAsia"/>
          <w:vertAlign w:val="subscript"/>
        </w:rPr>
        <w:t>L2,t</w:t>
      </w:r>
      <w:r w:rsidRPr="003674FB">
        <w:rPr>
          <w:rFonts w:eastAsiaTheme="minorEastAsia"/>
        </w:rPr>
        <w:t xml:space="preserve"> , D</w:t>
      </w:r>
      <w:r w:rsidRPr="003674FB">
        <w:rPr>
          <w:rFonts w:eastAsiaTheme="minorEastAsia"/>
          <w:vertAlign w:val="subscript"/>
        </w:rPr>
        <w:t xml:space="preserve">C1,t </w:t>
      </w:r>
      <w:r w:rsidRPr="003674FB">
        <w:rPr>
          <w:rFonts w:eastAsiaTheme="minorEastAsia"/>
          <w:shd w:val="clear" w:color="auto" w:fill="FFFFFF"/>
        </w:rPr>
        <w:t xml:space="preserve">, </w:t>
      </w:r>
      <w:r w:rsidRPr="003674FB">
        <w:rPr>
          <w:rFonts w:eastAsiaTheme="minorEastAsia"/>
        </w:rPr>
        <w:t>D</w:t>
      </w:r>
      <w:r w:rsidRPr="003674FB">
        <w:rPr>
          <w:rFonts w:eastAsiaTheme="minorEastAsia"/>
          <w:vertAlign w:val="subscript"/>
        </w:rPr>
        <w:t>C2,t</w:t>
      </w:r>
      <w:r w:rsidRPr="003674FB">
        <w:rPr>
          <w:rFonts w:eastAsiaTheme="minorEastAsia"/>
        </w:rPr>
        <w:t xml:space="preserve">) = </w:t>
      </w:r>
      <w:r w:rsidRPr="003674FB">
        <w:t>X</w:t>
      </w:r>
      <w:r w:rsidRPr="003674FB">
        <w:rPr>
          <w:vertAlign w:val="subscript"/>
        </w:rPr>
        <w:t xml:space="preserve">L2,t  </w:t>
      </w:r>
      <w:r w:rsidRPr="003674FB">
        <w:rPr>
          <w:rFonts w:eastAsiaTheme="minorEastAsia"/>
        </w:rPr>
        <w:t>+ r</w:t>
      </w:r>
      <w:r w:rsidRPr="003674FB">
        <w:rPr>
          <w:rFonts w:eastAsiaTheme="minorEastAsia"/>
          <w:vertAlign w:val="subscript"/>
        </w:rPr>
        <w:t>s</w:t>
      </w:r>
      <w:r w:rsidRPr="003674FB">
        <w:rPr>
          <w:rFonts w:eastAsiaTheme="minorEastAsia"/>
        </w:rPr>
        <w:t>(D</w:t>
      </w:r>
      <w:r w:rsidRPr="003674FB">
        <w:rPr>
          <w:rFonts w:eastAsiaTheme="minorEastAsia"/>
          <w:vertAlign w:val="subscript"/>
        </w:rPr>
        <w:t xml:space="preserve">C2,t </w:t>
      </w:r>
      <w:r w:rsidRPr="003674FB">
        <w:rPr>
          <w:rFonts w:eastAsiaTheme="minorEastAsia"/>
        </w:rPr>
        <w:t>- D</w:t>
      </w:r>
      <w:r w:rsidRPr="003674FB">
        <w:rPr>
          <w:rFonts w:eastAsiaTheme="minorEastAsia"/>
          <w:vertAlign w:val="subscript"/>
        </w:rPr>
        <w:t>C1,t</w:t>
      </w:r>
      <w:r w:rsidRPr="003674FB">
        <w:rPr>
          <w:rFonts w:eastAsiaTheme="minorEastAsia"/>
        </w:rPr>
        <w:t xml:space="preserve">) </w:t>
      </w:r>
      <w:r w:rsidRPr="003674FB">
        <w:rPr>
          <w:rFonts w:eastAsiaTheme="minorEastAsia"/>
          <w:color w:val="000000" w:themeColor="text1"/>
        </w:rPr>
        <w:t xml:space="preserve">+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C2,t </w:t>
      </w:r>
      <w:r w:rsidRPr="003674FB">
        <w:rPr>
          <w:rFonts w:eastAsiaTheme="minorEastAsia"/>
          <w:color w:val="000000" w:themeColor="text1"/>
        </w:rPr>
        <w:t>– D</w:t>
      </w:r>
      <w:r w:rsidRPr="003674FB">
        <w:rPr>
          <w:rFonts w:eastAsiaTheme="minorEastAsia"/>
          <w:color w:val="000000" w:themeColor="text1"/>
          <w:vertAlign w:val="subscript"/>
        </w:rPr>
        <w:t>C2max,t</w:t>
      </w:r>
      <w:r w:rsidRPr="003674FB">
        <w:rPr>
          <w:rFonts w:eastAsiaTheme="minorEastAsia"/>
          <w:color w:val="000000" w:themeColor="text1"/>
        </w:rPr>
        <w:t>)</w:t>
      </w:r>
      <w:r w:rsidRPr="003674FB">
        <w:rPr>
          <w:rFonts w:eastAsiaTheme="minorEastAsia"/>
          <w:shd w:val="clear" w:color="auto" w:fill="FFFFFF"/>
        </w:rPr>
        <w:tab/>
      </w:r>
      <w:r w:rsidRPr="003674FB">
        <w:rPr>
          <w:rFonts w:eastAsiaTheme="minorEastAsia"/>
          <w:shd w:val="clear" w:color="auto" w:fill="FFFFFF"/>
        </w:rPr>
        <w:tab/>
      </w:r>
      <w:r w:rsidRPr="003674FB">
        <w:rPr>
          <w:rFonts w:eastAsiaTheme="minorEastAsia"/>
          <w:shd w:val="clear" w:color="auto" w:fill="FFFFFF"/>
        </w:rPr>
        <w:tab/>
      </w:r>
      <w:r>
        <w:rPr>
          <w:rFonts w:eastAsiaTheme="minorEastAsia"/>
          <w:shd w:val="clear" w:color="auto" w:fill="FFFFFF"/>
        </w:rPr>
        <w:t xml:space="preserve"> </w:t>
      </w:r>
      <w:r w:rsidRPr="003674FB">
        <w:rPr>
          <w:rFonts w:eastAsiaTheme="minorEastAsia"/>
          <w:b/>
          <w:color w:val="000000" w:themeColor="text1"/>
        </w:rPr>
        <w:t>(8)</w:t>
      </w:r>
    </w:p>
    <w:p w14:paraId="26D9559C" w14:textId="77777777" w:rsidR="00EE0446" w:rsidRPr="003674FB" w:rsidRDefault="00EE0446" w:rsidP="00EE0446">
      <w:pPr>
        <w:spacing w:line="360" w:lineRule="auto"/>
        <w:rPr>
          <w:rFonts w:eastAsiaTheme="minorEastAsia"/>
          <w:b/>
          <w:color w:val="000000" w:themeColor="text1"/>
          <w:sz w:val="22"/>
          <w:szCs w:val="22"/>
        </w:rPr>
      </w:pPr>
    </w:p>
    <w:p w14:paraId="7AB60CBF" w14:textId="77777777" w:rsidR="00EE0446" w:rsidRPr="003674FB" w:rsidRDefault="00EE0446" w:rsidP="00EE0446">
      <w:pPr>
        <w:spacing w:line="360" w:lineRule="auto"/>
        <w:rPr>
          <w:rFonts w:eastAsiaTheme="minorEastAsia"/>
          <w:sz w:val="22"/>
          <w:szCs w:val="22"/>
        </w:rPr>
      </w:pP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w:r w:rsidRPr="003674FB">
        <w:rPr>
          <w:rFonts w:eastAsiaTheme="minorEastAsia"/>
          <w:color w:val="000000" w:themeColor="text1"/>
          <w:sz w:val="22"/>
          <w:szCs w:val="22"/>
        </w:rPr>
        <w:t xml:space="preserve">= </w:t>
      </w:r>
      <w:r w:rsidRPr="003674FB">
        <w:rPr>
          <w:rFonts w:eastAsiaTheme="minorEastAsia"/>
          <w:sz w:val="22"/>
          <w:szCs w:val="22"/>
          <w:shd w:val="clear" w:color="auto" w:fill="FFFFFF"/>
        </w:rPr>
        <w:t>U</w:t>
      </w:r>
      <w:r w:rsidRPr="003674FB">
        <w:rPr>
          <w:rFonts w:eastAsiaTheme="minorEastAsia"/>
          <w:sz w:val="22"/>
          <w:szCs w:val="22"/>
          <w:vertAlign w:val="subscript"/>
        </w:rPr>
        <w:t xml:space="preserve">L2,t </w:t>
      </w:r>
      <w:r w:rsidRPr="003674FB">
        <w:rPr>
          <w:rFonts w:eastAsiaTheme="minorEastAsia"/>
          <w:sz w:val="22"/>
          <w:szCs w:val="22"/>
        </w:rPr>
        <w:t>(X</w:t>
      </w:r>
      <w:r w:rsidRPr="003674FB">
        <w:rPr>
          <w:rFonts w:eastAsiaTheme="minorEastAsia"/>
          <w:sz w:val="22"/>
          <w:szCs w:val="22"/>
          <w:vertAlign w:val="subscript"/>
        </w:rPr>
        <w:t>L2,t</w:t>
      </w:r>
      <w:r w:rsidRPr="003674FB">
        <w:rPr>
          <w:rFonts w:eastAsiaTheme="minorEastAsia"/>
          <w:sz w:val="22"/>
          <w:szCs w:val="22"/>
        </w:rPr>
        <w:t xml:space="preserve"> , D</w:t>
      </w:r>
      <w:r w:rsidRPr="003674FB">
        <w:rPr>
          <w:rFonts w:eastAsiaTheme="minorEastAsia"/>
          <w:sz w:val="22"/>
          <w:szCs w:val="22"/>
          <w:vertAlign w:val="subscript"/>
        </w:rPr>
        <w:t xml:space="preserve">C1,t </w:t>
      </w:r>
      <w:r w:rsidRPr="003674FB">
        <w:rPr>
          <w:rFonts w:eastAsiaTheme="minorEastAsia"/>
          <w:sz w:val="22"/>
          <w:szCs w:val="22"/>
          <w:shd w:val="clear" w:color="auto" w:fill="FFFFFF"/>
        </w:rPr>
        <w:t xml:space="preserve">, </w:t>
      </w:r>
      <w:r w:rsidRPr="003674FB">
        <w:rPr>
          <w:rFonts w:eastAsiaTheme="minorEastAsia"/>
          <w:sz w:val="22"/>
          <w:szCs w:val="22"/>
        </w:rPr>
        <w:t>D</w:t>
      </w:r>
      <w:r w:rsidRPr="003674FB">
        <w:rPr>
          <w:rFonts w:eastAsiaTheme="minorEastAsia"/>
          <w:sz w:val="22"/>
          <w:szCs w:val="22"/>
          <w:vertAlign w:val="subscript"/>
        </w:rPr>
        <w:t>C2,t</w:t>
      </w:r>
      <w:r w:rsidRPr="003674FB">
        <w:rPr>
          <w:rFonts w:eastAsiaTheme="minorEastAsia"/>
          <w:sz w:val="22"/>
          <w:szCs w:val="22"/>
        </w:rPr>
        <w:t xml:space="preserve">) - </w:t>
      </w:r>
      <w:r w:rsidRPr="003674FB">
        <w:rPr>
          <w:rFonts w:eastAsiaTheme="minorEastAsia"/>
          <w:sz w:val="22"/>
          <w:szCs w:val="22"/>
          <w:shd w:val="clear" w:color="auto" w:fill="FFFFFF"/>
        </w:rPr>
        <w:t>U</w:t>
      </w:r>
      <w:r w:rsidRPr="003674FB">
        <w:rPr>
          <w:rFonts w:eastAsiaTheme="minorEastAsia"/>
          <w:sz w:val="22"/>
          <w:szCs w:val="22"/>
          <w:vertAlign w:val="subscript"/>
        </w:rPr>
        <w:t>L2,t</w:t>
      </w:r>
      <w:r>
        <w:rPr>
          <w:rFonts w:eastAsiaTheme="minorEastAsia"/>
          <w:sz w:val="22"/>
          <w:szCs w:val="22"/>
          <w:vertAlign w:val="subscript"/>
        </w:rPr>
        <w:t>-1</w:t>
      </w:r>
      <w:r w:rsidRPr="003674FB">
        <w:rPr>
          <w:rFonts w:eastAsiaTheme="minorEastAsia"/>
          <w:sz w:val="22"/>
          <w:szCs w:val="22"/>
          <w:vertAlign w:val="subscript"/>
        </w:rPr>
        <w:t xml:space="preserve"> </w:t>
      </w:r>
      <w:r w:rsidRPr="003674FB">
        <w:rPr>
          <w:rFonts w:eastAsiaTheme="minorEastAsia"/>
          <w:sz w:val="22"/>
          <w:szCs w:val="22"/>
        </w:rPr>
        <w:t>(X</w:t>
      </w:r>
      <w:r w:rsidRPr="003674FB">
        <w:rPr>
          <w:rFonts w:eastAsiaTheme="minorEastAsia"/>
          <w:sz w:val="22"/>
          <w:szCs w:val="22"/>
          <w:vertAlign w:val="subscript"/>
        </w:rPr>
        <w:t>L2,t-1</w:t>
      </w:r>
      <w:r w:rsidRPr="003674FB">
        <w:rPr>
          <w:rFonts w:eastAsiaTheme="minorEastAsia"/>
          <w:sz w:val="22"/>
          <w:szCs w:val="22"/>
        </w:rPr>
        <w:t xml:space="preserve"> , D</w:t>
      </w:r>
      <w:r w:rsidRPr="003674FB">
        <w:rPr>
          <w:rFonts w:eastAsiaTheme="minorEastAsia"/>
          <w:sz w:val="22"/>
          <w:szCs w:val="22"/>
          <w:vertAlign w:val="subscript"/>
        </w:rPr>
        <w:t xml:space="preserve">C1,t-1 </w:t>
      </w:r>
      <w:r w:rsidRPr="003674FB">
        <w:rPr>
          <w:rFonts w:eastAsiaTheme="minorEastAsia"/>
          <w:sz w:val="22"/>
          <w:szCs w:val="22"/>
          <w:shd w:val="clear" w:color="auto" w:fill="FFFFFF"/>
        </w:rPr>
        <w:t xml:space="preserve">, </w:t>
      </w:r>
      <w:r w:rsidRPr="003674FB">
        <w:rPr>
          <w:rFonts w:eastAsiaTheme="minorEastAsia"/>
          <w:sz w:val="22"/>
          <w:szCs w:val="22"/>
        </w:rPr>
        <w:t>D</w:t>
      </w:r>
      <w:r w:rsidRPr="003674FB">
        <w:rPr>
          <w:rFonts w:eastAsiaTheme="minorEastAsia"/>
          <w:sz w:val="22"/>
          <w:szCs w:val="22"/>
          <w:vertAlign w:val="subscript"/>
        </w:rPr>
        <w:t>C2,t-1</w:t>
      </w:r>
      <w:r w:rsidRPr="003674FB">
        <w:rPr>
          <w:rFonts w:eastAsiaTheme="minorEastAsia"/>
          <w:sz w:val="22"/>
          <w:szCs w:val="22"/>
        </w:rPr>
        <w:t>)</w:t>
      </w:r>
    </w:p>
    <w:p w14:paraId="3513FBBD" w14:textId="77777777" w:rsidR="00EE0446" w:rsidRPr="003674FB" w:rsidRDefault="00EE0446" w:rsidP="00EE0446">
      <w:pPr>
        <w:spacing w:line="360" w:lineRule="auto"/>
        <w:rPr>
          <w:color w:val="000000" w:themeColor="text1"/>
          <w:sz w:val="22"/>
          <w:szCs w:val="22"/>
          <w:vertAlign w:val="subscript"/>
        </w:rPr>
      </w:pPr>
      <m:oMath>
        <m: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sidRPr="003674FB">
        <w:rPr>
          <w:rFonts w:eastAsiaTheme="minorEastAsia"/>
          <w:b/>
          <w:color w:val="000000" w:themeColor="text1"/>
          <w:sz w:val="22"/>
          <w:szCs w:val="22"/>
        </w:rPr>
        <w:t xml:space="preserve">= </w:t>
      </w:r>
      <w:r w:rsidRPr="003674FB">
        <w:rPr>
          <w:color w:val="000000" w:themeColor="text1"/>
          <w:sz w:val="22"/>
          <w:szCs w:val="22"/>
        </w:rPr>
        <w:t>X</w:t>
      </w:r>
      <w:r w:rsidRPr="003674FB">
        <w:rPr>
          <w:color w:val="000000" w:themeColor="text1"/>
          <w:sz w:val="22"/>
          <w:szCs w:val="22"/>
          <w:vertAlign w:val="subscript"/>
        </w:rPr>
        <w:t xml:space="preserve">L2,t  </w:t>
      </w:r>
      <w:r w:rsidRPr="003674FB">
        <w:rPr>
          <w:color w:val="000000" w:themeColor="text1"/>
          <w:sz w:val="22"/>
          <w:szCs w:val="22"/>
        </w:rPr>
        <w:t>- X</w:t>
      </w:r>
      <w:r w:rsidRPr="003674FB">
        <w:rPr>
          <w:color w:val="000000" w:themeColor="text1"/>
          <w:sz w:val="22"/>
          <w:szCs w:val="22"/>
          <w:vertAlign w:val="subscript"/>
        </w:rPr>
        <w:t xml:space="preserve">L2,t-1 </w:t>
      </w:r>
    </w:p>
    <w:p w14:paraId="5AAD6158" w14:textId="77777777" w:rsidR="00EE0446" w:rsidRPr="003674FB" w:rsidRDefault="00EE0446" w:rsidP="00EE0446">
      <w:pPr>
        <w:spacing w:line="360" w:lineRule="auto"/>
        <w:rPr>
          <w:color w:val="000000" w:themeColor="text1"/>
          <w:sz w:val="22"/>
          <w:szCs w:val="22"/>
        </w:rPr>
      </w:pPr>
      <w:r w:rsidRPr="003674FB">
        <w:rPr>
          <w:rFonts w:eastAsiaTheme="minorEastAsia"/>
          <w:sz w:val="22"/>
          <w:szCs w:val="22"/>
        </w:rPr>
        <w:t>r</w:t>
      </w:r>
      <w:r w:rsidRPr="003674FB">
        <w:rPr>
          <w:rFonts w:eastAsiaTheme="minorEastAsia"/>
          <w:sz w:val="22"/>
          <w:szCs w:val="22"/>
          <w:vertAlign w:val="subscript"/>
        </w:rPr>
        <w:t>s</w:t>
      </w:r>
      <m:oMath>
        <m:r>
          <w:rPr>
            <w:rFonts w:ascii="Cambria Math" w:eastAsiaTheme="minorEastAsia" w:hAnsi="Cambria Math"/>
            <w:sz w:val="22"/>
            <w:szCs w:val="22"/>
            <w:vertAlign w:val="subscript"/>
          </w:rPr>
          <m:t xml:space="preserve"> </m:t>
        </m:r>
        <m:r>
          <w:rPr>
            <w:rFonts w:ascii="Cambria Math" w:eastAsiaTheme="minorEastAsia" w:hAnsi="Cambria Math"/>
            <w:sz w:val="22"/>
            <w:szCs w:val="22"/>
          </w:rPr>
          <m:t>(</m:t>
        </m:r>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 xml:space="preserve">C2,t - </w:t>
      </w:r>
      <m:oMath>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C1,t</w:t>
      </w:r>
      <w:r w:rsidRPr="003674FB">
        <w:rPr>
          <w:rFonts w:eastAsiaTheme="minorEastAsia"/>
          <w:sz w:val="22"/>
          <w:szCs w:val="22"/>
        </w:rPr>
        <w:t>) = r</w:t>
      </w:r>
      <w:r>
        <w:rPr>
          <w:rFonts w:eastAsiaTheme="minorEastAsia"/>
          <w:sz w:val="22"/>
          <w:szCs w:val="22"/>
          <w:vertAlign w:val="subscript"/>
        </w:rPr>
        <w:t>s</w:t>
      </w:r>
      <w:r w:rsidRPr="003674FB">
        <w:rPr>
          <w:rFonts w:eastAsiaTheme="minorEastAsia"/>
          <w:sz w:val="22"/>
          <w:szCs w:val="22"/>
        </w:rPr>
        <w:t>((</w:t>
      </w:r>
      <w:r w:rsidRPr="003674FB">
        <w:rPr>
          <w:rFonts w:eastAsiaTheme="minorEastAsia"/>
        </w:rPr>
        <w:t>D</w:t>
      </w:r>
      <w:r w:rsidRPr="003674FB">
        <w:rPr>
          <w:rFonts w:eastAsiaTheme="minorEastAsia"/>
          <w:vertAlign w:val="subscript"/>
        </w:rPr>
        <w:t xml:space="preserve">C2,t </w:t>
      </w:r>
      <w:r w:rsidRPr="003674FB">
        <w:rPr>
          <w:color w:val="000000" w:themeColor="text1"/>
          <w:sz w:val="22"/>
          <w:szCs w:val="22"/>
        </w:rPr>
        <w:t xml:space="preserve">- </w:t>
      </w:r>
      <w:r w:rsidRPr="003674FB">
        <w:rPr>
          <w:rFonts w:eastAsiaTheme="minorEastAsia"/>
        </w:rPr>
        <w:t>D</w:t>
      </w:r>
      <w:r w:rsidRPr="003674FB">
        <w:rPr>
          <w:rFonts w:eastAsiaTheme="minorEastAsia"/>
          <w:vertAlign w:val="subscript"/>
        </w:rPr>
        <w:t>C2,t-1</w:t>
      </w:r>
      <w:r w:rsidRPr="003674FB">
        <w:rPr>
          <w:rFonts w:eastAsiaTheme="minorEastAsia"/>
        </w:rPr>
        <w:t>) – (</w:t>
      </w:r>
      <w:r w:rsidRPr="003674FB">
        <w:rPr>
          <w:rFonts w:eastAsiaTheme="minorEastAsia"/>
          <w:sz w:val="22"/>
          <w:szCs w:val="22"/>
        </w:rPr>
        <w:t>D</w:t>
      </w:r>
      <w:r w:rsidRPr="003674FB">
        <w:rPr>
          <w:rFonts w:eastAsiaTheme="minorEastAsia"/>
          <w:sz w:val="22"/>
          <w:szCs w:val="22"/>
          <w:vertAlign w:val="subscript"/>
        </w:rPr>
        <w:t xml:space="preserve">C1,t </w:t>
      </w:r>
      <w:r w:rsidRPr="003674FB">
        <w:rPr>
          <w:rFonts w:eastAsiaTheme="minorEastAsia"/>
          <w:sz w:val="22"/>
          <w:szCs w:val="22"/>
        </w:rPr>
        <w:t>- D</w:t>
      </w:r>
      <w:r w:rsidRPr="003674FB">
        <w:rPr>
          <w:rFonts w:eastAsiaTheme="minorEastAsia"/>
          <w:sz w:val="22"/>
          <w:szCs w:val="22"/>
          <w:vertAlign w:val="subscript"/>
        </w:rPr>
        <w:t>C1,t-1</w:t>
      </w:r>
      <w:r w:rsidRPr="003674FB">
        <w:rPr>
          <w:rFonts w:eastAsiaTheme="minorEastAsia"/>
          <w:sz w:val="22"/>
          <w:szCs w:val="22"/>
        </w:rPr>
        <w:t>))</w:t>
      </w:r>
    </w:p>
    <w:p w14:paraId="487C4516" w14:textId="77777777" w:rsidR="00EE0446" w:rsidRPr="003674FB" w:rsidRDefault="00EE0446" w:rsidP="00EE0446">
      <w:pPr>
        <w:spacing w:line="360" w:lineRule="auto"/>
        <w:rPr>
          <w:color w:val="000000" w:themeColor="text1"/>
          <w:sz w:val="22"/>
          <w:szCs w:val="22"/>
        </w:rPr>
      </w:pPr>
      <m:oMath>
        <m:r>
          <m:rPr>
            <m:sty m:val="p"/>
          </m:rPr>
          <w:rPr>
            <w:rFonts w:ascii="Cambria Math" w:eastAsiaTheme="minorEastAsia" w:hAnsi="Cambria Math"/>
            <w:color w:val="000000" w:themeColor="text1"/>
            <w:sz w:val="22"/>
            <w:szCs w:val="22"/>
          </w:rPr>
          <m:t>ε (∆</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C2max,t</w:t>
      </w:r>
      <w:r w:rsidRPr="003674FB">
        <w:rPr>
          <w:rFonts w:eastAsiaTheme="minorEastAsia"/>
          <w:color w:val="000000" w:themeColor="text1"/>
          <w:sz w:val="22"/>
          <w:szCs w:val="22"/>
        </w:rPr>
        <w:t xml:space="preserve">) =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C2,t-1</w:t>
      </w:r>
      <w:r w:rsidRPr="003674FB">
        <w:rPr>
          <w:rFonts w:eastAsiaTheme="minorEastAsia"/>
          <w:color w:val="000000" w:themeColor="text1"/>
          <w:sz w:val="22"/>
          <w:szCs w:val="22"/>
        </w:rPr>
        <w:t>) – (D</w:t>
      </w:r>
      <w:r w:rsidRPr="003674FB">
        <w:rPr>
          <w:rFonts w:eastAsiaTheme="minorEastAsia"/>
          <w:color w:val="000000" w:themeColor="text1"/>
          <w:sz w:val="22"/>
          <w:szCs w:val="22"/>
          <w:vertAlign w:val="subscript"/>
        </w:rPr>
        <w:t>C2max,t</w:t>
      </w:r>
      <w:r w:rsidRPr="003674FB">
        <w:rPr>
          <w:rFonts w:eastAsiaTheme="minorEastAsia"/>
          <w:color w:val="000000" w:themeColor="text1"/>
          <w:sz w:val="22"/>
          <w:szCs w:val="22"/>
        </w:rPr>
        <w:t xml:space="preserve"> - D</w:t>
      </w:r>
      <w:r w:rsidRPr="003674FB">
        <w:rPr>
          <w:rFonts w:eastAsiaTheme="minorEastAsia"/>
          <w:color w:val="000000" w:themeColor="text1"/>
          <w:sz w:val="22"/>
          <w:szCs w:val="22"/>
          <w:vertAlign w:val="subscript"/>
        </w:rPr>
        <w:t>C2max,t-1</w:t>
      </w:r>
      <w:r w:rsidRPr="003674FB">
        <w:rPr>
          <w:rFonts w:eastAsiaTheme="minorEastAsia"/>
          <w:color w:val="000000" w:themeColor="text1"/>
          <w:sz w:val="22"/>
          <w:szCs w:val="22"/>
        </w:rPr>
        <w:t>))</w:t>
      </w:r>
      <w:r>
        <w:rPr>
          <w:rFonts w:eastAsiaTheme="minorEastAsia"/>
          <w:color w:val="000000" w:themeColor="text1"/>
          <w:sz w:val="22"/>
          <w:szCs w:val="22"/>
        </w:rPr>
        <w:t xml:space="preserve"> =</w:t>
      </w:r>
      <w:r w:rsidRPr="003674FB">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C2,t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C2,t-1</w:t>
      </w:r>
      <w:r w:rsidRPr="003674FB">
        <w:rPr>
          <w:rFonts w:eastAsiaTheme="minorEastAsia"/>
          <w:color w:val="000000" w:themeColor="text1"/>
          <w:sz w:val="22"/>
          <w:szCs w:val="22"/>
        </w:rPr>
        <w:t>)</w:t>
      </w:r>
    </w:p>
    <w:p w14:paraId="627327D8" w14:textId="77777777" w:rsidR="00EE0446" w:rsidRPr="003674FB" w:rsidRDefault="00EE0446" w:rsidP="00EE0446">
      <w:pPr>
        <w:spacing w:line="360" w:lineRule="auto"/>
        <w:rPr>
          <w:rFonts w:eastAsiaTheme="minorEastAsia"/>
          <w:color w:val="000000" w:themeColor="text1"/>
          <w:sz w:val="22"/>
          <w:szCs w:val="22"/>
        </w:rPr>
      </w:pPr>
    </w:p>
    <w:p w14:paraId="76CC74EA" w14:textId="77777777" w:rsidR="00EE0446" w:rsidRPr="00E3491D" w:rsidRDefault="00EE0446" w:rsidP="00EE0446">
      <w:pPr>
        <w:spacing w:line="360" w:lineRule="auto"/>
        <w:rPr>
          <w:rFonts w:eastAsiaTheme="minorEastAsia"/>
          <w:sz w:val="22"/>
          <w:szCs w:val="22"/>
        </w:rPr>
      </w:pPr>
      <w:r w:rsidRPr="003674FB">
        <w:rPr>
          <w:rFonts w:eastAsiaTheme="minorEastAsia"/>
          <w:sz w:val="22"/>
          <w:szCs w:val="22"/>
        </w:rPr>
        <w:t xml:space="preserve">For </w:t>
      </w:r>
      <w:r>
        <w:rPr>
          <w:rFonts w:eastAsiaTheme="minorEastAsia"/>
          <w:color w:val="000000" w:themeColor="text1"/>
          <w:sz w:val="22"/>
          <w:szCs w:val="22"/>
          <w:shd w:val="clear" w:color="auto" w:fill="FFFFFF"/>
        </w:rPr>
        <w:t>L</w:t>
      </w:r>
      <w:r>
        <w:rPr>
          <w:rFonts w:eastAsiaTheme="minorEastAsia"/>
          <w:color w:val="000000" w:themeColor="text1"/>
          <w:sz w:val="22"/>
          <w:szCs w:val="22"/>
          <w:shd w:val="clear" w:color="auto" w:fill="FFFFFF"/>
          <w:vertAlign w:val="subscript"/>
        </w:rPr>
        <w:t>2</w:t>
      </w:r>
      <w:r>
        <w:rPr>
          <w:rFonts w:eastAsiaTheme="minorEastAsia"/>
          <w:color w:val="000000" w:themeColor="text1"/>
          <w:sz w:val="22"/>
          <w:szCs w:val="22"/>
          <w:shd w:val="clear" w:color="auto" w:fill="FFFFFF"/>
        </w:rPr>
        <w:t xml:space="preserve"> to pass it must hold that </w:t>
      </w: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L2,t </w:t>
      </w:r>
      <m:oMath>
        <m:r>
          <w:rPr>
            <w:rFonts w:ascii="Cambria Math" w:eastAsiaTheme="minorEastAsia" w:hAnsi="Cambria Math"/>
            <w:color w:val="000000" w:themeColor="text1"/>
            <w:sz w:val="22"/>
            <w:szCs w:val="22"/>
            <w:shd w:val="clear" w:color="auto" w:fill="FFFFFF"/>
          </w:rPr>
          <m:t>≥</m:t>
        </m:r>
      </m:oMath>
      <w:r>
        <w:rPr>
          <w:rFonts w:eastAsiaTheme="minorEastAsia"/>
          <w:color w:val="000000" w:themeColor="text1"/>
          <w:sz w:val="22"/>
          <w:szCs w:val="22"/>
          <w:shd w:val="clear" w:color="auto" w:fill="FFFFFF"/>
        </w:rPr>
        <w:t xml:space="preserve"> 0 even if a rival L</w:t>
      </w:r>
      <w:r>
        <w:rPr>
          <w:rFonts w:eastAsiaTheme="minorEastAsia"/>
          <w:color w:val="000000" w:themeColor="text1"/>
          <w:sz w:val="22"/>
          <w:szCs w:val="22"/>
          <w:shd w:val="clear" w:color="auto" w:fill="FFFFFF"/>
          <w:vertAlign w:val="subscript"/>
        </w:rPr>
        <w:t>1</w:t>
      </w:r>
      <w:r>
        <w:rPr>
          <w:rFonts w:eastAsiaTheme="minorEastAsia"/>
          <w:color w:val="000000" w:themeColor="text1"/>
          <w:sz w:val="22"/>
          <w:szCs w:val="22"/>
          <w:shd w:val="clear" w:color="auto" w:fill="FFFFFF"/>
        </w:rPr>
        <w:t xml:space="preserve"> ‘takes’ in a subsequent node, that is:</w:t>
      </w:r>
      <w:r>
        <w:rPr>
          <w:rFonts w:eastAsiaTheme="minorEastAsia"/>
          <w:sz w:val="22"/>
          <w:szCs w:val="22"/>
        </w:rPr>
        <w:t xml:space="preserve"> </w:t>
      </w:r>
    </w:p>
    <w:p w14:paraId="1CAE20FB" w14:textId="77777777" w:rsidR="00EE0446" w:rsidRPr="00703E6A" w:rsidRDefault="00EE0446" w:rsidP="00EE0446">
      <w:pPr>
        <w:spacing w:line="360" w:lineRule="auto"/>
        <w:rPr>
          <w:rFonts w:eastAsiaTheme="minorEastAsia"/>
          <w:sz w:val="22"/>
          <w:szCs w:val="22"/>
        </w:rPr>
      </w:pPr>
      <m:oMath>
        <m:r>
          <w:rPr>
            <w:rFonts w:ascii="Cambria Math" w:eastAsiaTheme="minorEastAsia" w:hAnsi="Cambria Math"/>
            <w:color w:val="000000" w:themeColor="text1"/>
            <w:sz w:val="22"/>
            <w:szCs w:val="22"/>
          </w:rPr>
          <m:t>∆</m:t>
        </m:r>
      </m:oMath>
      <w:r w:rsidRPr="003674FB">
        <w:rPr>
          <w:color w:val="000000" w:themeColor="text1"/>
          <w:sz w:val="22"/>
          <w:szCs w:val="22"/>
        </w:rPr>
        <w:t>X</w:t>
      </w:r>
      <w:r w:rsidRPr="003674FB">
        <w:rPr>
          <w:color w:val="000000" w:themeColor="text1"/>
          <w:sz w:val="22"/>
          <w:szCs w:val="22"/>
          <w:vertAlign w:val="subscript"/>
        </w:rPr>
        <w:t xml:space="preserve">L2,t </w:t>
      </w:r>
      <w:r w:rsidRPr="003674FB">
        <w:rPr>
          <w:color w:val="000000" w:themeColor="text1"/>
          <w:sz w:val="22"/>
          <w:szCs w:val="22"/>
        </w:rPr>
        <w:t xml:space="preserve">+ </w:t>
      </w:r>
      <w:r w:rsidRPr="003674FB">
        <w:rPr>
          <w:rFonts w:eastAsiaTheme="minorEastAsia"/>
          <w:sz w:val="22"/>
          <w:szCs w:val="22"/>
        </w:rPr>
        <w:t>r</w:t>
      </w:r>
      <w:r w:rsidRPr="003674FB">
        <w:rPr>
          <w:rFonts w:eastAsiaTheme="minorEastAsia"/>
          <w:sz w:val="22"/>
          <w:szCs w:val="22"/>
          <w:vertAlign w:val="subscript"/>
        </w:rPr>
        <w:t>s</w:t>
      </w:r>
      <m:oMath>
        <m:r>
          <w:rPr>
            <w:rFonts w:ascii="Cambria Math" w:eastAsiaTheme="minorEastAsia" w:hAnsi="Cambria Math"/>
            <w:sz w:val="22"/>
            <w:szCs w:val="22"/>
          </w:rPr>
          <m:t>(</m:t>
        </m:r>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 xml:space="preserve">C2,t </w:t>
      </w:r>
      <w:r w:rsidRPr="004B3D23">
        <w:rPr>
          <w:rFonts w:eastAsiaTheme="minorEastAsia"/>
          <w:sz w:val="22"/>
          <w:szCs w:val="22"/>
        </w:rPr>
        <w:t>-</w:t>
      </w:r>
      <w:r w:rsidRPr="003674FB">
        <w:rPr>
          <w:rFonts w:eastAsiaTheme="minorEastAsia"/>
          <w:sz w:val="22"/>
          <w:szCs w:val="22"/>
          <w:vertAlign w:val="subscript"/>
        </w:rPr>
        <w:t xml:space="preserve"> </w:t>
      </w:r>
      <m:oMath>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C1,t</w:t>
      </w:r>
      <w:r w:rsidRPr="003674FB">
        <w:rPr>
          <w:rFonts w:eastAsiaTheme="minorEastAsia"/>
          <w:sz w:val="22"/>
          <w:szCs w:val="22"/>
        </w:rPr>
        <w:t xml:space="preserve">) +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C2,t</w:t>
      </w:r>
      <w:r w:rsidRPr="003674FB">
        <w:rPr>
          <w:rFonts w:eastAsiaTheme="minorEastAsia"/>
          <w:color w:val="000000" w:themeColor="text1"/>
          <w:sz w:val="22"/>
          <w:szCs w:val="22"/>
        </w:rPr>
        <w:t>)</w:t>
      </w:r>
      <w:r w:rsidRPr="003674FB">
        <w:rPr>
          <w:rFonts w:eastAsiaTheme="minorEastAsia"/>
          <w:sz w:val="22"/>
          <w:szCs w:val="22"/>
        </w:rPr>
        <w:t xml:space="preserve"> </w:t>
      </w:r>
      <m:oMath>
        <m:r>
          <w:rPr>
            <w:rFonts w:ascii="Cambria Math" w:eastAsiaTheme="minorEastAsia" w:hAnsi="Cambria Math"/>
            <w:color w:val="000000" w:themeColor="text1"/>
            <w:sz w:val="22"/>
            <w:szCs w:val="22"/>
            <w:shd w:val="clear" w:color="auto" w:fill="FFFFFF"/>
          </w:rPr>
          <m:t>≥</m:t>
        </m:r>
      </m:oMath>
      <w:r w:rsidRPr="003674FB">
        <w:rPr>
          <w:rFonts w:eastAsiaTheme="minorEastAsia"/>
          <w:color w:val="000000" w:themeColor="text1"/>
          <w:sz w:val="22"/>
          <w:szCs w:val="22"/>
          <w:shd w:val="clear" w:color="auto" w:fill="FFFFFF"/>
        </w:rPr>
        <w:t xml:space="preserve"> 0</w:t>
      </w:r>
    </w:p>
    <w:p w14:paraId="5F340D48" w14:textId="77777777" w:rsidR="00EE0446" w:rsidRDefault="00EE0446" w:rsidP="00EE0446">
      <w:pPr>
        <w:spacing w:line="360" w:lineRule="auto"/>
        <w:rPr>
          <w:rFonts w:eastAsiaTheme="minorEastAsia"/>
          <w:b/>
          <w:bCs/>
          <w:i/>
          <w:iCs/>
          <w:shd w:val="clear" w:color="auto" w:fill="FFFFFF"/>
        </w:rPr>
      </w:pPr>
    </w:p>
    <w:p w14:paraId="567248CC" w14:textId="051440AE" w:rsidR="00EE0446" w:rsidRPr="00144A96" w:rsidRDefault="00EE0446" w:rsidP="00EE0446">
      <w:pPr>
        <w:spacing w:line="360" w:lineRule="auto"/>
        <w:rPr>
          <w:rFonts w:eastAsiaTheme="minorEastAsia"/>
          <w:color w:val="000000" w:themeColor="text1"/>
        </w:rPr>
      </w:pPr>
      <w:r w:rsidRPr="003674FB">
        <w:rPr>
          <w:rFonts w:eastAsiaTheme="minorEastAsia"/>
          <w:b/>
          <w:bCs/>
          <w:i/>
          <w:iCs/>
          <w:shd w:val="clear" w:color="auto" w:fill="FFFFFF"/>
        </w:rPr>
        <w:t xml:space="preserve">Proof </w:t>
      </w:r>
      <w:r>
        <w:rPr>
          <w:rFonts w:eastAsiaTheme="minorEastAsia"/>
          <w:b/>
          <w:bCs/>
          <w:i/>
          <w:iCs/>
          <w:shd w:val="clear" w:color="auto" w:fill="FFFFFF"/>
        </w:rPr>
        <w:t>4</w:t>
      </w:r>
      <w:r w:rsidRPr="003674FB">
        <w:rPr>
          <w:rFonts w:eastAsiaTheme="minorEastAsia"/>
          <w:b/>
          <w:bCs/>
          <w:iCs/>
          <w:shd w:val="clear" w:color="auto" w:fill="FFFFFF"/>
        </w:rPr>
        <w:t>:</w:t>
      </w:r>
      <w:r w:rsidRPr="003674FB">
        <w:rPr>
          <w:rFonts w:eastAsiaTheme="minorEastAsia"/>
          <w:bCs/>
          <w:iCs/>
          <w:shd w:val="clear" w:color="auto" w:fill="FFFFFF"/>
        </w:rPr>
        <w:t xml:space="preserve"> </w:t>
      </w:r>
      <w:r w:rsidRPr="00D7673B">
        <w:rPr>
          <w:rFonts w:eastAsiaTheme="minorEastAsia"/>
          <w:bCs/>
          <w:iCs/>
          <w:shd w:val="clear" w:color="auto" w:fill="FFFFFF"/>
        </w:rPr>
        <w:t xml:space="preserve">If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D7673B">
        <w:rPr>
          <w:rFonts w:eastAsiaTheme="minorEastAsia"/>
          <w:color w:val="000000" w:themeColor="text1"/>
        </w:rPr>
        <w:t xml:space="preserve"> </w:t>
      </w:r>
      <m:oMath>
        <m:r>
          <w:rPr>
            <w:rFonts w:ascii="Cambria Math" w:eastAsiaTheme="minorEastAsia" w:hAnsi="Cambria Math"/>
            <w:shd w:val="clear" w:color="auto" w:fill="FFFFFF"/>
          </w:rPr>
          <m:t>≤</m:t>
        </m:r>
      </m:oMath>
      <w:r w:rsidRPr="00D7673B">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C2,t</m:t>
                </m:r>
              </m:sub>
            </m:sSub>
            <m:r>
              <w:rPr>
                <w:rFonts w:ascii="Cambria Math" w:eastAsiaTheme="minorEastAsia" w:hAnsi="Cambria Math"/>
                <w:color w:val="000000" w:themeColor="text1"/>
              </w:rPr>
              <m:t>|</m:t>
            </m:r>
          </m:den>
        </m:f>
      </m:oMath>
      <w:r w:rsidRPr="00D7673B">
        <w:rPr>
          <w:rFonts w:eastAsiaTheme="minorEastAsia"/>
          <w:color w:val="000000" w:themeColor="text1"/>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m:rPr>
            <m:sty m:val="p"/>
          </m:rPr>
          <w:rPr>
            <w:rFonts w:ascii="Cambria Math" w:eastAsiaTheme="minorEastAsia" w:hAnsi="Cambria Math"/>
            <w:vertAlign w:val="subscript"/>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L2,t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C2,t</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C2,t</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C1,t</m:t>
                </m:r>
              </m:sub>
            </m:sSub>
            <m:r>
              <w:rPr>
                <w:rFonts w:ascii="Cambria Math" w:eastAsiaTheme="minorEastAsia" w:hAnsi="Cambria Math"/>
                <w:color w:val="000000" w:themeColor="text1"/>
              </w:rPr>
              <m:t>|</m:t>
            </m:r>
          </m:den>
        </m:f>
      </m:oMath>
      <w:r w:rsidRPr="00D7673B">
        <w:rPr>
          <w:rFonts w:eastAsiaTheme="minorEastAsia"/>
          <w:color w:val="000000" w:themeColor="text1"/>
        </w:rPr>
        <w:t xml:space="preserve"> then </w:t>
      </w:r>
      <m:oMath>
        <m:r>
          <w:rPr>
            <w:rFonts w:ascii="Cambria Math" w:eastAsiaTheme="minorEastAsia" w:hAnsi="Cambria Math"/>
            <w:color w:val="000000" w:themeColor="text1"/>
          </w:rPr>
          <m:t>∆</m:t>
        </m:r>
      </m:oMath>
      <w:r w:rsidRPr="00D7673B">
        <w:rPr>
          <w:color w:val="000000" w:themeColor="text1"/>
        </w:rPr>
        <w:t>X</w:t>
      </w:r>
      <w:r w:rsidRPr="00D7673B">
        <w:rPr>
          <w:color w:val="000000" w:themeColor="text1"/>
          <w:vertAlign w:val="subscript"/>
        </w:rPr>
        <w:t xml:space="preserve">L2,t </w:t>
      </w:r>
      <w:r w:rsidRPr="00D7673B">
        <w:rPr>
          <w:color w:val="000000" w:themeColor="text1"/>
        </w:rPr>
        <w:t xml:space="preserve">+ </w:t>
      </w:r>
      <w:r w:rsidRPr="00D7673B">
        <w:rPr>
          <w:rFonts w:eastAsiaTheme="minorEastAsia"/>
        </w:rPr>
        <w:t>r</w:t>
      </w:r>
      <w:r w:rsidRPr="00D7673B">
        <w:rPr>
          <w:rFonts w:eastAsiaTheme="minorEastAsia"/>
          <w:vertAlign w:val="subscript"/>
        </w:rPr>
        <w:t>s</w:t>
      </w:r>
      <m:oMath>
        <m:r>
          <w:rPr>
            <w:rFonts w:ascii="Cambria Math" w:eastAsiaTheme="minorEastAsia" w:hAnsi="Cambria Math"/>
          </w:rPr>
          <m:t>(</m:t>
        </m:r>
        <m:r>
          <w:rPr>
            <w:rFonts w:ascii="Cambria Math" w:eastAsiaTheme="minorEastAsia" w:hAnsi="Cambria Math"/>
            <w:color w:val="000000" w:themeColor="text1"/>
          </w:rPr>
          <m:t>∆</m:t>
        </m:r>
      </m:oMath>
      <w:r w:rsidRPr="00D7673B">
        <w:rPr>
          <w:rFonts w:eastAsiaTheme="minorEastAsia"/>
        </w:rPr>
        <w:t>D</w:t>
      </w:r>
      <w:r w:rsidRPr="00D7673B">
        <w:rPr>
          <w:rFonts w:eastAsiaTheme="minorEastAsia"/>
          <w:vertAlign w:val="subscript"/>
        </w:rPr>
        <w:t xml:space="preserve">C2,t </w:t>
      </w:r>
      <w:r w:rsidRPr="00BA2203">
        <w:rPr>
          <w:rFonts w:eastAsiaTheme="minorEastAsia"/>
        </w:rPr>
        <w:t xml:space="preserve">- </w:t>
      </w:r>
      <m:oMath>
        <m:r>
          <w:rPr>
            <w:rFonts w:ascii="Cambria Math" w:eastAsiaTheme="minorEastAsia" w:hAnsi="Cambria Math"/>
            <w:color w:val="000000" w:themeColor="text1"/>
          </w:rPr>
          <m:t>∆</m:t>
        </m:r>
      </m:oMath>
      <w:r w:rsidRPr="00D7673B">
        <w:rPr>
          <w:rFonts w:eastAsiaTheme="minorEastAsia"/>
        </w:rPr>
        <w:t>D</w:t>
      </w:r>
      <w:r w:rsidRPr="00D7673B">
        <w:rPr>
          <w:rFonts w:eastAsiaTheme="minorEastAsia"/>
          <w:vertAlign w:val="subscript"/>
        </w:rPr>
        <w:t>C1,t</w:t>
      </w:r>
      <w:r w:rsidRPr="00D7673B">
        <w:rPr>
          <w:rFonts w:eastAsiaTheme="minorEastAsia"/>
        </w:rPr>
        <w:t xml:space="preserve">) + </w:t>
      </w:r>
      <m:oMath>
        <m:r>
          <m:rPr>
            <m:sty m:val="p"/>
          </m:rPr>
          <w:rPr>
            <w:rFonts w:ascii="Cambria Math" w:eastAsiaTheme="minorEastAsia" w:hAnsi="Cambria Math"/>
            <w:color w:val="000000" w:themeColor="text1"/>
          </w:rPr>
          <m:t>ε(∆</m:t>
        </m:r>
      </m:oMath>
      <w:r w:rsidRPr="00D7673B">
        <w:rPr>
          <w:rFonts w:eastAsiaTheme="minorEastAsia"/>
          <w:color w:val="000000" w:themeColor="text1"/>
        </w:rPr>
        <w:t>D</w:t>
      </w:r>
      <w:r w:rsidRPr="00D7673B">
        <w:rPr>
          <w:rFonts w:eastAsiaTheme="minorEastAsia"/>
          <w:color w:val="000000" w:themeColor="text1"/>
          <w:vertAlign w:val="subscript"/>
        </w:rPr>
        <w:t>C2,t</w:t>
      </w:r>
      <w:r w:rsidRPr="00D7673B">
        <w:rPr>
          <w:rFonts w:eastAsiaTheme="minorEastAsia"/>
          <w:color w:val="000000" w:themeColor="text1"/>
        </w:rPr>
        <w:t>)</w:t>
      </w:r>
      <w:r w:rsidRPr="00D7673B">
        <w:rPr>
          <w:rFonts w:eastAsiaTheme="minorEastAsia"/>
        </w:rPr>
        <w:t xml:space="preserve"> </w:t>
      </w:r>
      <m:oMath>
        <m:r>
          <w:rPr>
            <w:rFonts w:ascii="Cambria Math" w:eastAsiaTheme="minorEastAsia" w:hAnsi="Cambria Math"/>
            <w:color w:val="000000" w:themeColor="text1"/>
            <w:shd w:val="clear" w:color="auto" w:fill="FFFFFF"/>
          </w:rPr>
          <m:t>≥</m:t>
        </m:r>
      </m:oMath>
      <w:r w:rsidRPr="00D7673B">
        <w:rPr>
          <w:rFonts w:eastAsiaTheme="minorEastAsia"/>
          <w:color w:val="000000" w:themeColor="text1"/>
          <w:shd w:val="clear" w:color="auto" w:fill="FFFFFF"/>
        </w:rPr>
        <w:t xml:space="preserve"> 0 and thus </w:t>
      </w:r>
      <m:oMath>
        <m:r>
          <w:rPr>
            <w:rFonts w:ascii="Cambria Math" w:eastAsiaTheme="minorEastAsia" w:hAnsi="Cambria Math"/>
          </w:rPr>
          <m:t>∆</m:t>
        </m:r>
      </m:oMath>
      <w:r w:rsidRPr="00D7673B">
        <w:rPr>
          <w:rFonts w:eastAsiaTheme="minorEastAsia"/>
          <w:shd w:val="clear" w:color="auto" w:fill="FFFFFF"/>
        </w:rPr>
        <w:t>U</w:t>
      </w:r>
      <w:r w:rsidRPr="00D7673B">
        <w:rPr>
          <w:rFonts w:eastAsiaTheme="minorEastAsia"/>
          <w:vertAlign w:val="subscript"/>
        </w:rPr>
        <w:t xml:space="preserve">L2,t  </w:t>
      </w:r>
      <m:oMath>
        <m:r>
          <w:rPr>
            <w:rFonts w:ascii="Cambria Math" w:eastAsiaTheme="minorEastAsia" w:hAnsi="Cambria Math"/>
            <w:shd w:val="clear" w:color="auto" w:fill="FFFFFF"/>
          </w:rPr>
          <m:t>≥</m:t>
        </m:r>
      </m:oMath>
      <w:r w:rsidRPr="00D7673B">
        <w:rPr>
          <w:rFonts w:eastAsiaTheme="minorEastAsia"/>
          <w:shd w:val="clear" w:color="auto" w:fill="FFFFFF"/>
        </w:rPr>
        <w:t xml:space="preserve"> 0. A rational L</w:t>
      </w:r>
      <w:r w:rsidRPr="00D7673B">
        <w:rPr>
          <w:rFonts w:eastAsiaTheme="minorEastAsia"/>
          <w:shd w:val="clear" w:color="auto" w:fill="FFFFFF"/>
          <w:vertAlign w:val="subscript"/>
        </w:rPr>
        <w:t>2</w:t>
      </w:r>
      <w:r w:rsidRPr="00D7673B">
        <w:rPr>
          <w:rFonts w:eastAsiaTheme="minorEastAsia"/>
          <w:shd w:val="clear" w:color="auto" w:fill="FFFFFF"/>
        </w:rPr>
        <w:t xml:space="preserve">’s best response is to pass. If 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sidRPr="00D7673B">
        <w:rPr>
          <w:rFonts w:eastAsiaTheme="minorEastAsia"/>
          <w:color w:val="000000" w:themeColor="text1"/>
        </w:rPr>
        <w:t xml:space="preserve"> and</w:t>
      </w:r>
      <w:r w:rsidRPr="00D7673B">
        <w:rPr>
          <w:rFonts w:eastAsiaTheme="minorEastAsia"/>
          <w:bCs/>
          <w:iCs/>
          <w:shd w:val="clear" w:color="auto" w:fill="FFFFFF"/>
        </w:rPr>
        <w:t xml:space="preserve"> 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sidRPr="00D7673B">
        <w:rPr>
          <w:rFonts w:eastAsiaTheme="minorEastAsia"/>
          <w:color w:val="000000" w:themeColor="text1"/>
        </w:rPr>
        <w:t xml:space="preserve"> then </w:t>
      </w:r>
      <m:oMath>
        <m:r>
          <w:rPr>
            <w:rFonts w:ascii="Cambria Math" w:eastAsiaTheme="minorEastAsia" w:hAnsi="Cambria Math"/>
            <w:color w:val="000000" w:themeColor="text1"/>
          </w:rPr>
          <m:t>∆</m:t>
        </m:r>
      </m:oMath>
      <w:r w:rsidRPr="00D7673B">
        <w:rPr>
          <w:color w:val="000000" w:themeColor="text1"/>
        </w:rPr>
        <w:t>X</w:t>
      </w:r>
      <w:r w:rsidRPr="00D7673B">
        <w:rPr>
          <w:color w:val="000000" w:themeColor="text1"/>
          <w:vertAlign w:val="subscript"/>
        </w:rPr>
        <w:t xml:space="preserve">L2,t </w:t>
      </w:r>
      <w:r w:rsidRPr="00D7673B">
        <w:rPr>
          <w:color w:val="000000" w:themeColor="text1"/>
        </w:rPr>
        <w:t xml:space="preserve">+ </w:t>
      </w:r>
      <w:r w:rsidRPr="00D7673B">
        <w:rPr>
          <w:rFonts w:eastAsiaTheme="minorEastAsia"/>
        </w:rPr>
        <w:t>r</w:t>
      </w:r>
      <w:r w:rsidRPr="00D7673B">
        <w:rPr>
          <w:rFonts w:eastAsiaTheme="minorEastAsia"/>
          <w:vertAlign w:val="subscript"/>
        </w:rPr>
        <w:t>s</w:t>
      </w:r>
      <m:oMath>
        <m:r>
          <w:rPr>
            <w:rFonts w:ascii="Cambria Math" w:eastAsiaTheme="minorEastAsia" w:hAnsi="Cambria Math"/>
          </w:rPr>
          <m:t>(</m:t>
        </m:r>
        <m:r>
          <w:rPr>
            <w:rFonts w:ascii="Cambria Math" w:eastAsiaTheme="minorEastAsia" w:hAnsi="Cambria Math"/>
            <w:color w:val="000000" w:themeColor="text1"/>
          </w:rPr>
          <m:t>∆</m:t>
        </m:r>
      </m:oMath>
      <w:r w:rsidRPr="00D7673B">
        <w:rPr>
          <w:rFonts w:eastAsiaTheme="minorEastAsia"/>
        </w:rPr>
        <w:t>D</w:t>
      </w:r>
      <w:r w:rsidRPr="00D7673B">
        <w:rPr>
          <w:rFonts w:eastAsiaTheme="minorEastAsia"/>
          <w:vertAlign w:val="subscript"/>
        </w:rPr>
        <w:t>C2,t</w:t>
      </w:r>
      <w:r w:rsidRPr="00BA2203">
        <w:rPr>
          <w:rFonts w:eastAsiaTheme="minorEastAsia"/>
        </w:rPr>
        <w:t xml:space="preserve"> -</w:t>
      </w:r>
      <w:r w:rsidRPr="00D7673B">
        <w:rPr>
          <w:rFonts w:eastAsiaTheme="minorEastAsia"/>
          <w:vertAlign w:val="subscript"/>
        </w:rPr>
        <w:t xml:space="preserve"> </w:t>
      </w:r>
      <m:oMath>
        <m:r>
          <w:rPr>
            <w:rFonts w:ascii="Cambria Math" w:eastAsiaTheme="minorEastAsia" w:hAnsi="Cambria Math"/>
            <w:color w:val="000000" w:themeColor="text1"/>
          </w:rPr>
          <m:t>∆</m:t>
        </m:r>
      </m:oMath>
      <w:r w:rsidRPr="00D7673B">
        <w:rPr>
          <w:rFonts w:eastAsiaTheme="minorEastAsia"/>
        </w:rPr>
        <w:t>D</w:t>
      </w:r>
      <w:r w:rsidRPr="00D7673B">
        <w:rPr>
          <w:rFonts w:eastAsiaTheme="minorEastAsia"/>
          <w:vertAlign w:val="subscript"/>
        </w:rPr>
        <w:t>C1,t</w:t>
      </w:r>
      <w:r w:rsidRPr="00D7673B">
        <w:rPr>
          <w:rFonts w:eastAsiaTheme="minorEastAsia"/>
        </w:rPr>
        <w:t xml:space="preserve">) + </w:t>
      </w:r>
      <m:oMath>
        <m:r>
          <m:rPr>
            <m:sty m:val="p"/>
          </m:rPr>
          <w:rPr>
            <w:rFonts w:ascii="Cambria Math" w:eastAsiaTheme="minorEastAsia" w:hAnsi="Cambria Math"/>
            <w:color w:val="000000" w:themeColor="text1"/>
          </w:rPr>
          <m:t>ε(∆</m:t>
        </m:r>
      </m:oMath>
      <w:r w:rsidRPr="00D7673B">
        <w:rPr>
          <w:rFonts w:eastAsiaTheme="minorEastAsia"/>
          <w:color w:val="000000" w:themeColor="text1"/>
        </w:rPr>
        <w:t>D</w:t>
      </w:r>
      <w:r w:rsidRPr="00D7673B">
        <w:rPr>
          <w:rFonts w:eastAsiaTheme="minorEastAsia"/>
          <w:color w:val="000000" w:themeColor="text1"/>
          <w:vertAlign w:val="subscript"/>
        </w:rPr>
        <w:t>C2,t</w:t>
      </w:r>
      <w:r w:rsidRPr="00D7673B">
        <w:rPr>
          <w:rFonts w:eastAsiaTheme="minorEastAsia"/>
          <w:color w:val="000000" w:themeColor="text1"/>
        </w:rPr>
        <w:t>)</w:t>
      </w:r>
      <w:r>
        <w:rPr>
          <w:rFonts w:eastAsiaTheme="minorEastAsia"/>
          <w:color w:val="000000" w:themeColor="text1"/>
        </w:rPr>
        <w:t xml:space="preserve"> </w:t>
      </w:r>
      <m:oMath>
        <m:r>
          <w:rPr>
            <w:rFonts w:ascii="Cambria Math" w:eastAsiaTheme="minorEastAsia" w:hAnsi="Cambria Math"/>
            <w:color w:val="000000" w:themeColor="text1"/>
            <w:shd w:val="clear" w:color="auto" w:fill="FFFFFF"/>
          </w:rPr>
          <m:t xml:space="preserve">≥ </m:t>
        </m:r>
      </m:oMath>
      <w:r w:rsidRPr="00D7673B">
        <w:rPr>
          <w:rFonts w:eastAsiaTheme="minorEastAsia"/>
          <w:color w:val="000000" w:themeColor="text1"/>
          <w:shd w:val="clear" w:color="auto" w:fill="FFFFFF"/>
        </w:rPr>
        <w:t xml:space="preserve">0 at all nodes and thus </w:t>
      </w:r>
      <m:oMath>
        <m:r>
          <w:rPr>
            <w:rFonts w:ascii="Cambria Math" w:eastAsiaTheme="minorEastAsia" w:hAnsi="Cambria Math"/>
          </w:rPr>
          <m:t>∆</m:t>
        </m:r>
      </m:oMath>
      <w:r w:rsidRPr="00D7673B">
        <w:rPr>
          <w:rFonts w:eastAsiaTheme="minorEastAsia"/>
          <w:shd w:val="clear" w:color="auto" w:fill="FFFFFF"/>
        </w:rPr>
        <w:t>U</w:t>
      </w:r>
      <w:r w:rsidRPr="00D7673B">
        <w:rPr>
          <w:rFonts w:eastAsiaTheme="minorEastAsia"/>
          <w:vertAlign w:val="subscript"/>
        </w:rPr>
        <w:t xml:space="preserve">L2,t </w:t>
      </w:r>
      <m:oMath>
        <m:r>
          <w:rPr>
            <w:rFonts w:ascii="Cambria Math" w:eastAsiaTheme="minorEastAsia" w:hAnsi="Cambria Math"/>
            <w:shd w:val="clear" w:color="auto" w:fill="FFFFFF"/>
          </w:rPr>
          <m:t>≥</m:t>
        </m:r>
      </m:oMath>
      <w:r w:rsidRPr="00D7673B">
        <w:rPr>
          <w:rFonts w:eastAsiaTheme="minorEastAsia"/>
          <w:shd w:val="clear" w:color="auto" w:fill="FFFFFF"/>
        </w:rPr>
        <w:t xml:space="preserve"> 0. A rational L</w:t>
      </w:r>
      <w:r w:rsidRPr="00D7673B">
        <w:rPr>
          <w:rFonts w:eastAsiaTheme="minorEastAsia"/>
          <w:shd w:val="clear" w:color="auto" w:fill="FFFFFF"/>
          <w:vertAlign w:val="subscript"/>
        </w:rPr>
        <w:t>2</w:t>
      </w:r>
      <w:r w:rsidRPr="00D7673B">
        <w:rPr>
          <w:rFonts w:eastAsiaTheme="minorEastAsia"/>
          <w:shd w:val="clear" w:color="auto" w:fill="FFFFFF"/>
        </w:rPr>
        <w:t xml:space="preserve">’s best response is to always pass. </w:t>
      </w:r>
      <w:r>
        <w:rPr>
          <w:rFonts w:eastAsiaTheme="minorEastAsia"/>
          <w:shd w:val="clear" w:color="auto" w:fill="FFFFFF"/>
        </w:rPr>
        <w:t xml:space="preserve">If both lawyers are ‘typical lawyers’ such that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1</w:t>
      </w:r>
      <w:r w:rsidR="00F55DD0">
        <w:rPr>
          <w:rFonts w:eastAsiaTheme="minorEastAsia"/>
          <w:color w:val="000000" w:themeColor="text1"/>
        </w:rPr>
        <w:t xml:space="preserve"> and</w:t>
      </w:r>
      <w:r>
        <w:rPr>
          <w:rFonts w:eastAsiaTheme="minorEastAsia"/>
          <w:color w:val="000000" w:themeColor="text1"/>
        </w:rPr>
        <w:t xml:space="preserve">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2</w:t>
      </w:r>
      <w:r w:rsidRPr="00402C7D">
        <w:rPr>
          <w:rFonts w:eastAsiaTheme="minorEastAsia"/>
          <w:color w:val="000000" w:themeColor="text1"/>
        </w:rPr>
        <w:t>,</w:t>
      </w:r>
      <w:r>
        <w:rPr>
          <w:rFonts w:eastAsiaTheme="minorEastAsia"/>
          <w:color w:val="000000" w:themeColor="text1"/>
          <w:vertAlign w:val="subscript"/>
        </w:rPr>
        <w:t xml:space="preserve"> </w:t>
      </w:r>
      <w:r>
        <w:rPr>
          <w:rFonts w:eastAsiaTheme="minorEastAsia"/>
          <w:color w:val="000000" w:themeColor="text1"/>
        </w:rPr>
        <w:t xml:space="preserve">and the reputational incentives associated with settlements are suppressed by their private nature such that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Pr>
          <w:rFonts w:eastAsiaTheme="minorEastAsia"/>
          <w:shd w:val="clear" w:color="auto" w:fill="FFFFFF"/>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2</w:t>
      </w:r>
      <w:r>
        <w:rPr>
          <w:rFonts w:eastAsiaTheme="minorEastAsia"/>
          <w:color w:val="000000" w:themeColor="text1"/>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C1,7</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C2,7</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1</w:t>
      </w:r>
      <w:r>
        <w:rPr>
          <w:rFonts w:eastAsiaTheme="minorEastAsia"/>
          <w:color w:val="000000" w:themeColor="text1"/>
        </w:rPr>
        <w:t>, then the game will terminate at t=8. If the assumptions for L</w:t>
      </w:r>
      <w:r>
        <w:rPr>
          <w:rFonts w:eastAsiaTheme="minorEastAsia"/>
          <w:color w:val="000000" w:themeColor="text1"/>
          <w:vertAlign w:val="subscript"/>
        </w:rPr>
        <w:t>1</w:t>
      </w:r>
      <w:r>
        <w:rPr>
          <w:rFonts w:eastAsiaTheme="minorEastAsia"/>
          <w:color w:val="000000" w:themeColor="text1"/>
        </w:rPr>
        <w:t xml:space="preserve"> hold and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L2,2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C2,2</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2</w:t>
      </w:r>
      <w:r>
        <w:rPr>
          <w:rFonts w:eastAsiaTheme="minorEastAsia"/>
          <w:color w:val="000000" w:themeColor="text1"/>
        </w:rPr>
        <w:t>, then a rational L</w:t>
      </w:r>
      <w:r>
        <w:rPr>
          <w:rFonts w:eastAsiaTheme="minorEastAsia"/>
          <w:color w:val="000000" w:themeColor="text1"/>
          <w:vertAlign w:val="subscript"/>
        </w:rPr>
        <w:t>2</w:t>
      </w:r>
      <w:r>
        <w:rPr>
          <w:rFonts w:eastAsiaTheme="minorEastAsia"/>
          <w:color w:val="000000" w:themeColor="text1"/>
        </w:rPr>
        <w:t xml:space="preserve"> will find it in their best interest to pass at t=5 if </w:t>
      </w:r>
      <w:r w:rsidRPr="003C27C7">
        <w:rPr>
          <w:rFonts w:eastAsiaTheme="minorEastAsia"/>
          <w:bCs/>
          <w:iCs/>
          <w:color w:val="000000" w:themeColor="text1"/>
          <w:shd w:val="clear" w:color="auto" w:fill="FFFFFF"/>
        </w:rPr>
        <w:t xml:space="preserve">0 </w:t>
      </w:r>
      <m:oMath>
        <m:r>
          <m:rPr>
            <m:sty m:val="p"/>
          </m:rPr>
          <w:rPr>
            <w:rFonts w:ascii="Cambria Math" w:eastAsiaTheme="minorEastAsia" w:hAnsi="Cambria Math"/>
            <w:color w:val="000000" w:themeColor="text1"/>
            <w:vertAlign w:val="subscript"/>
          </w:rPr>
          <m:t xml:space="preserve">≤ </m:t>
        </m:r>
      </m:oMath>
      <w:r w:rsidRPr="003C27C7">
        <w:rPr>
          <w:rFonts w:eastAsiaTheme="minorEastAsia"/>
          <w:color w:val="000000" w:themeColor="text1"/>
        </w:rPr>
        <w:t>r</w:t>
      </w:r>
      <w:r w:rsidRPr="003C27C7">
        <w:rPr>
          <w:rFonts w:eastAsiaTheme="minorEastAsia"/>
          <w:color w:val="000000" w:themeColor="text1"/>
          <w:vertAlign w:val="subscript"/>
        </w:rPr>
        <w:t xml:space="preserve">s </w:t>
      </w:r>
      <m:oMath>
        <m:r>
          <w:rPr>
            <w:rFonts w:ascii="Cambria Math" w:eastAsiaTheme="minorEastAsia" w:hAnsi="Cambria Math"/>
            <w:color w:val="000000" w:themeColor="text1"/>
            <w:shd w:val="clear" w:color="auto" w:fill="FFFFFF"/>
          </w:rPr>
          <m:t>≤</m:t>
        </m:r>
      </m:oMath>
      <w:r w:rsidRPr="003C27C7">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L2,6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C2,6</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C2,6</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C1,6</m:t>
                </m:r>
              </m:sub>
            </m:sSub>
            <m:r>
              <w:rPr>
                <w:rFonts w:ascii="Cambria Math" w:eastAsiaTheme="minorEastAsia" w:hAnsi="Cambria Math"/>
                <w:color w:val="000000" w:themeColor="text1"/>
              </w:rPr>
              <m:t>)|</m:t>
            </m:r>
          </m:den>
        </m:f>
      </m:oMath>
      <w:r>
        <w:rPr>
          <w:rFonts w:eastAsiaTheme="minorEastAsia"/>
          <w:color w:val="000000" w:themeColor="text1"/>
        </w:rPr>
        <w:t xml:space="preserve">. If these assumptions hold, then ceteris paribus, overinvestment is predicted. This proposition postulates that the privacy of settlements may suppress reputational ramifications and may therefore not deter costly impediment. </w:t>
      </w:r>
    </w:p>
    <w:p w14:paraId="795FA46E" w14:textId="77777777" w:rsidR="00EE0446" w:rsidRDefault="00EE0446" w:rsidP="00EE0446">
      <w:pPr>
        <w:spacing w:line="360" w:lineRule="auto"/>
        <w:rPr>
          <w:rFonts w:eastAsiaTheme="minorEastAsia"/>
          <w:b/>
          <w:bCs/>
          <w:i/>
          <w:iCs/>
          <w:color w:val="000000" w:themeColor="text1"/>
          <w:shd w:val="clear" w:color="auto" w:fill="FFFFFF"/>
        </w:rPr>
      </w:pPr>
    </w:p>
    <w:p w14:paraId="6534067F" w14:textId="365D112C" w:rsidR="00EE0446" w:rsidRPr="00CE2F15" w:rsidRDefault="00EE0446" w:rsidP="00EE0446">
      <w:pPr>
        <w:spacing w:line="360" w:lineRule="auto"/>
        <w:rPr>
          <w:rFonts w:eastAsiaTheme="minorEastAsia"/>
          <w:color w:val="000000" w:themeColor="text1"/>
          <w:vertAlign w:val="subscript"/>
        </w:rPr>
      </w:pPr>
      <w:r w:rsidRPr="003C27C7">
        <w:rPr>
          <w:rFonts w:eastAsiaTheme="minorEastAsia"/>
          <w:b/>
          <w:bCs/>
          <w:i/>
          <w:iCs/>
          <w:color w:val="000000" w:themeColor="text1"/>
          <w:shd w:val="clear" w:color="auto" w:fill="FFFFFF"/>
        </w:rPr>
        <w:t>Welfare Implications</w:t>
      </w:r>
      <w:r w:rsidRPr="003C27C7">
        <w:rPr>
          <w:rFonts w:eastAsiaTheme="minorEastAsia"/>
          <w:b/>
          <w:bCs/>
          <w:iCs/>
          <w:color w:val="000000" w:themeColor="text1"/>
          <w:shd w:val="clear" w:color="auto" w:fill="FFFFFF"/>
        </w:rPr>
        <w:t xml:space="preserve">: </w:t>
      </w:r>
      <w:r>
        <w:rPr>
          <w:rFonts w:eastAsiaTheme="minorEastAsia"/>
          <w:bCs/>
          <w:iCs/>
          <w:color w:val="000000" w:themeColor="text1"/>
          <w:shd w:val="clear" w:color="auto" w:fill="FFFFFF"/>
        </w:rPr>
        <w:t xml:space="preserve">If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color w:val="000000" w:themeColor="text1"/>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C1,7</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C2,7</m:t>
                </m:r>
              </m:sub>
            </m:sSub>
            <m:r>
              <w:rPr>
                <w:rFonts w:ascii="Cambria Math" w:eastAsiaTheme="minorEastAsia" w:hAnsi="Cambria Math"/>
                <w:color w:val="000000" w:themeColor="text1"/>
              </w:rPr>
              <m:t>)|</m:t>
            </m:r>
          </m:den>
        </m:f>
      </m:oMath>
      <w:r>
        <w:rPr>
          <w:rFonts w:eastAsiaTheme="minorEastAsia"/>
          <w:color w:val="000000" w:themeColor="text1"/>
        </w:rPr>
        <w:t xml:space="preserve"> for L</w:t>
      </w:r>
      <w:r>
        <w:rPr>
          <w:rFonts w:eastAsiaTheme="minorEastAsia"/>
          <w:color w:val="000000" w:themeColor="text1"/>
          <w:vertAlign w:val="subscript"/>
        </w:rPr>
        <w:t>1,</w:t>
      </w:r>
      <w:r>
        <w:rPr>
          <w:rFonts w:eastAsiaTheme="minorEastAsia"/>
          <w:color w:val="000000" w:themeColor="text1"/>
        </w:rPr>
        <w:t xml:space="preserve"> and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Pr>
          <w:rFonts w:eastAsiaTheme="minorEastAsia"/>
          <w:color w:val="000000" w:themeColor="text1"/>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Pr>
          <w:rFonts w:eastAsiaTheme="minorEastAsia"/>
          <w:color w:val="000000" w:themeColor="text1"/>
        </w:rPr>
        <w:t xml:space="preserve"> </w:t>
      </w:r>
      <w:r w:rsidR="00CE2F15">
        <w:rPr>
          <w:rFonts w:eastAsiaTheme="minorEastAsia"/>
          <w:color w:val="000000" w:themeColor="text1"/>
        </w:rPr>
        <w:t>for L</w:t>
      </w:r>
      <w:r w:rsidR="00CE2F15">
        <w:rPr>
          <w:rFonts w:eastAsiaTheme="minorEastAsia"/>
          <w:color w:val="000000" w:themeColor="text1"/>
          <w:vertAlign w:val="subscript"/>
        </w:rPr>
        <w:t xml:space="preserve">2 </w:t>
      </w:r>
      <w:r>
        <w:rPr>
          <w:rFonts w:eastAsiaTheme="minorEastAsia"/>
          <w:color w:val="000000" w:themeColor="text1"/>
        </w:rPr>
        <w:t xml:space="preserve">then the game will terminate at t=8 where total client welfare (225) will be less than the client welfare maximising outcome (270). </w:t>
      </w:r>
    </w:p>
    <w:p w14:paraId="17EA1DC4" w14:textId="77777777" w:rsidR="00EE0446" w:rsidRDefault="00EE0446" w:rsidP="00EE0446">
      <w:pPr>
        <w:spacing w:line="360" w:lineRule="auto"/>
        <w:rPr>
          <w:rFonts w:eastAsiaTheme="minorEastAsia"/>
          <w:color w:val="000000" w:themeColor="text1"/>
        </w:rPr>
      </w:pPr>
    </w:p>
    <w:p w14:paraId="63B7CD1D" w14:textId="77777777" w:rsidR="00BF3069" w:rsidRPr="00530A40" w:rsidRDefault="00BF3069" w:rsidP="00BF3069">
      <w:pPr>
        <w:spacing w:line="360" w:lineRule="auto"/>
        <w:rPr>
          <w:rFonts w:eastAsiaTheme="minorEastAsia"/>
          <w:b/>
          <w:color w:val="000000" w:themeColor="text1"/>
          <w:shd w:val="clear" w:color="auto" w:fill="FFFFFF"/>
        </w:rPr>
      </w:pPr>
      <w:r w:rsidRPr="00530A40">
        <w:rPr>
          <w:rFonts w:eastAsiaTheme="minorEastAsia"/>
          <w:b/>
          <w:color w:val="000000" w:themeColor="text1"/>
          <w:shd w:val="clear" w:color="auto" w:fill="FFFFFF"/>
        </w:rPr>
        <w:t>P</w:t>
      </w:r>
      <w:r>
        <w:rPr>
          <w:rFonts w:eastAsiaTheme="minorEastAsia"/>
          <w:b/>
          <w:color w:val="000000" w:themeColor="text1"/>
          <w:shd w:val="clear" w:color="auto" w:fill="FFFFFF"/>
        </w:rPr>
        <w:t xml:space="preserve">roposition </w:t>
      </w:r>
      <w:r w:rsidRPr="00530A40">
        <w:rPr>
          <w:rFonts w:eastAsiaTheme="minorEastAsia"/>
          <w:b/>
          <w:color w:val="000000" w:themeColor="text1"/>
          <w:shd w:val="clear" w:color="auto" w:fill="FFFFFF"/>
        </w:rPr>
        <w:t xml:space="preserve">4: The typical lawyer will overinvest when earning equal hourly-rates, despite reputational incentives and the prospect </w:t>
      </w:r>
      <w:r>
        <w:rPr>
          <w:rFonts w:eastAsiaTheme="minorEastAsia"/>
          <w:b/>
          <w:color w:val="000000" w:themeColor="text1"/>
          <w:shd w:val="clear" w:color="auto" w:fill="FFFFFF"/>
        </w:rPr>
        <w:t>of trials</w:t>
      </w:r>
      <w:r>
        <w:rPr>
          <w:rStyle w:val="CommentReference"/>
        </w:rPr>
        <w:t>.</w:t>
      </w:r>
    </w:p>
    <w:p w14:paraId="1D44B139" w14:textId="77777777" w:rsidR="00BF3069" w:rsidRDefault="00BF3069" w:rsidP="00BF3069">
      <w:pPr>
        <w:spacing w:line="360" w:lineRule="auto"/>
        <w:rPr>
          <w:rFonts w:eastAsiaTheme="minorEastAsia"/>
          <w:shd w:val="clear" w:color="auto" w:fill="FFFFFF"/>
        </w:rPr>
      </w:pPr>
      <w:r w:rsidRPr="003674FB">
        <w:rPr>
          <w:rFonts w:eastAsiaTheme="minorEastAsia"/>
          <w:bCs/>
          <w:iCs/>
          <w:shd w:val="clear" w:color="auto" w:fill="FFFFFF"/>
        </w:rPr>
        <w:t>Equal hourly-rates means</w:t>
      </w:r>
      <w:r w:rsidRPr="003674FB">
        <w:rPr>
          <w:rFonts w:eastAsiaTheme="minorEastAsia"/>
        </w:rPr>
        <w:t xml:space="preserve"> </w:t>
      </w:r>
      <m:oMath>
        <m:r>
          <w:rPr>
            <w:rFonts w:ascii="Cambria Math" w:eastAsiaTheme="minorEastAsia" w:hAnsi="Cambria Math"/>
          </w:rPr>
          <m:t>α</m:t>
        </m:r>
      </m:oMath>
      <w:r w:rsidRPr="003674FB">
        <w:rPr>
          <w:rFonts w:eastAsiaTheme="minorEastAsia"/>
        </w:rPr>
        <w:t>(</w:t>
      </w:r>
      <w:r w:rsidRPr="003674FB">
        <w:t>X</w:t>
      </w:r>
      <w:r w:rsidRPr="003674FB">
        <w:rPr>
          <w:vertAlign w:val="subscript"/>
        </w:rPr>
        <w:t xml:space="preserve">L1,t </w:t>
      </w:r>
      <w:r w:rsidRPr="003674FB">
        <w:t>– X</w:t>
      </w:r>
      <w:r w:rsidRPr="003674FB">
        <w:rPr>
          <w:vertAlign w:val="subscript"/>
        </w:rPr>
        <w:t>L2,t</w:t>
      </w:r>
      <w:r w:rsidRPr="003674FB">
        <w:t>)</w:t>
      </w:r>
      <w:r w:rsidRPr="003674FB">
        <w:rPr>
          <w:rFonts w:eastAsiaTheme="minorEastAsia"/>
        </w:rPr>
        <w:t xml:space="preserve"> = 0 and </w:t>
      </w:r>
      <m:oMath>
        <m:r>
          <w:rPr>
            <w:rFonts w:ascii="Cambria Math" w:eastAsiaTheme="minorEastAsia" w:hAnsi="Cambria Math"/>
          </w:rPr>
          <m:t>β</m:t>
        </m:r>
      </m:oMath>
      <w:r w:rsidRPr="003674FB">
        <w:rPr>
          <w:rFonts w:eastAsiaTheme="minorEastAsia"/>
        </w:rPr>
        <w:t>(X</w:t>
      </w:r>
      <w:r w:rsidRPr="003674FB">
        <w:rPr>
          <w:rFonts w:eastAsiaTheme="minorEastAsia"/>
          <w:vertAlign w:val="subscript"/>
        </w:rPr>
        <w:t xml:space="preserve">L2,t </w:t>
      </w:r>
      <w:r w:rsidRPr="003674FB">
        <w:rPr>
          <w:rFonts w:eastAsiaTheme="minorEastAsia"/>
        </w:rPr>
        <w:t>– X</w:t>
      </w:r>
      <w:r w:rsidRPr="003674FB">
        <w:rPr>
          <w:rFonts w:eastAsiaTheme="minorEastAsia"/>
          <w:vertAlign w:val="subscript"/>
        </w:rPr>
        <w:t>L1,t</w:t>
      </w:r>
      <w:r w:rsidRPr="003674FB">
        <w:rPr>
          <w:rFonts w:eastAsiaTheme="minorEastAsia"/>
        </w:rPr>
        <w:t xml:space="preserve">) = 0. </w:t>
      </w:r>
      <w:r>
        <w:rPr>
          <w:rFonts w:eastAsiaTheme="minorEastAsia"/>
        </w:rPr>
        <w:t xml:space="preserve">Consistent with </w:t>
      </w:r>
      <w:r>
        <w:rPr>
          <w:rFonts w:eastAsiaTheme="minorEastAsia"/>
          <w:b/>
        </w:rPr>
        <w:t>Proposition 3</w:t>
      </w:r>
      <w:r>
        <w:rPr>
          <w:rFonts w:eastAsiaTheme="minorEastAsia"/>
        </w:rPr>
        <w:t xml:space="preserve">, settlement outcomes are associated with low awareness/publicity, </w:t>
      </w:r>
      <w:r w:rsidRPr="003674FB">
        <w:rPr>
          <w:rFonts w:eastAsiaTheme="minorEastAsia"/>
          <w:i/>
          <w:shd w:val="clear" w:color="auto" w:fill="FFFFFF"/>
        </w:rPr>
        <w:t>r</w:t>
      </w:r>
      <w:r w:rsidRPr="003674FB">
        <w:rPr>
          <w:rFonts w:eastAsiaTheme="minorEastAsia"/>
          <w:shd w:val="clear" w:color="auto" w:fill="FFFFFF"/>
          <w:vertAlign w:val="subscript"/>
        </w:rPr>
        <w:t>s</w:t>
      </w:r>
      <w:r>
        <w:rPr>
          <w:rFonts w:eastAsiaTheme="minorEastAsia"/>
          <w:shd w:val="clear" w:color="auto" w:fill="FFFFFF"/>
        </w:rPr>
        <w:t xml:space="preserve">, while trial outcomes, given their public nature, are associated with high awareness/publicity, </w:t>
      </w:r>
      <w:r w:rsidRPr="00EA15F3">
        <w:rPr>
          <w:rFonts w:eastAsiaTheme="minorEastAsia"/>
          <w:shd w:val="clear" w:color="auto" w:fill="FFFFFF"/>
        </w:rPr>
        <w:t xml:space="preserve">denoted by </w:t>
      </w:r>
      <w:r w:rsidRPr="00EA15F3">
        <w:rPr>
          <w:rFonts w:eastAsiaTheme="minorEastAsia"/>
          <w:i/>
          <w:shd w:val="clear" w:color="auto" w:fill="FFFFFF"/>
        </w:rPr>
        <w:t>r</w:t>
      </w:r>
      <w:r w:rsidRPr="00EA15F3">
        <w:rPr>
          <w:rFonts w:eastAsiaTheme="minorEastAsia"/>
          <w:shd w:val="clear" w:color="auto" w:fill="FFFFFF"/>
          <w:vertAlign w:val="subscript"/>
        </w:rPr>
        <w:t>T</w:t>
      </w:r>
      <w:r w:rsidRPr="00EA15F3">
        <w:rPr>
          <w:rFonts w:eastAsiaTheme="minorEastAsia"/>
          <w:shd w:val="clear" w:color="auto" w:fill="FFFFFF"/>
        </w:rPr>
        <w:t xml:space="preserve"> and this is common knowledge. This is consistent with Loewenstein et al., (1993) who</w:t>
      </w:r>
      <w:r w:rsidRPr="00584FD0">
        <w:rPr>
          <w:rFonts w:eastAsiaTheme="minorEastAsia"/>
          <w:shd w:val="clear" w:color="auto" w:fill="FFFFFF"/>
        </w:rPr>
        <w:t xml:space="preserve"> suggested that agents are judged more on their ability to win trials than</w:t>
      </w:r>
      <w:r w:rsidRPr="003674FB">
        <w:rPr>
          <w:rFonts w:eastAsiaTheme="minorEastAsia"/>
          <w:shd w:val="clear" w:color="auto" w:fill="FFFFFF"/>
        </w:rPr>
        <w:t xml:space="preserve"> their ability to settle beyond the confines of the courtroom.</w:t>
      </w:r>
      <w:r>
        <w:rPr>
          <w:rFonts w:eastAsiaTheme="minorEastAsia"/>
          <w:shd w:val="clear" w:color="auto" w:fill="FFFFFF"/>
        </w:rPr>
        <w:t xml:space="preserve"> Since litigation effort (</w:t>
      </w:r>
      <w:r w:rsidRPr="004C7FE3">
        <w:t>E</w:t>
      </w:r>
      <w:r w:rsidRPr="004C7FE3">
        <w:rPr>
          <w:vertAlign w:val="subscript"/>
        </w:rPr>
        <w:t>2</w:t>
      </w:r>
      <w:r>
        <w:rPr>
          <w:rFonts w:eastAsiaTheme="minorEastAsia"/>
          <w:shd w:val="clear" w:color="auto" w:fill="FFFFFF"/>
        </w:rPr>
        <w:t>) is costly; L</w:t>
      </w:r>
      <w:r>
        <w:rPr>
          <w:rFonts w:eastAsiaTheme="minorEastAsia"/>
          <w:shd w:val="clear" w:color="auto" w:fill="FFFFFF"/>
          <w:vertAlign w:val="subscript"/>
        </w:rPr>
        <w:t>2</w:t>
      </w:r>
      <w:r>
        <w:rPr>
          <w:rFonts w:eastAsiaTheme="minorEastAsia"/>
          <w:shd w:val="clear" w:color="auto" w:fill="FFFFFF"/>
        </w:rPr>
        <w:t xml:space="preserve">’s utility will reduce the greater the effort invested in preparing for trial, regardless of outcome. Accordingly, </w:t>
      </w:r>
      <w:r>
        <w:rPr>
          <w:rFonts w:eastAsiaTheme="minorEastAsia"/>
          <w:b/>
          <w:shd w:val="clear" w:color="auto" w:fill="FFFFFF"/>
        </w:rPr>
        <w:t>UF(9)</w:t>
      </w:r>
      <w:r>
        <w:rPr>
          <w:rFonts w:eastAsiaTheme="minorEastAsia"/>
          <w:shd w:val="clear" w:color="auto" w:fill="FFFFFF"/>
        </w:rPr>
        <w:t xml:space="preserve">, presenting </w:t>
      </w:r>
      <w:r w:rsidRPr="003674FB">
        <w:rPr>
          <w:rFonts w:eastAsiaTheme="minorEastAsia"/>
        </w:rPr>
        <w:t>L</w:t>
      </w:r>
      <w:r w:rsidRPr="003674FB">
        <w:rPr>
          <w:rFonts w:eastAsiaTheme="minorEastAsia"/>
          <w:vertAlign w:val="subscript"/>
        </w:rPr>
        <w:t>2</w:t>
      </w:r>
      <w:r>
        <w:rPr>
          <w:rFonts w:eastAsiaTheme="minorEastAsia"/>
        </w:rPr>
        <w:t>’s utility at node 8 (trial outcome)</w:t>
      </w:r>
      <w:r w:rsidRPr="003674FB">
        <w:rPr>
          <w:rFonts w:eastAsiaTheme="minorEastAsia"/>
        </w:rPr>
        <w:t xml:space="preserve">, under </w:t>
      </w:r>
      <w:r w:rsidRPr="003674FB">
        <w:rPr>
          <w:rFonts w:eastAsiaTheme="minorEastAsia"/>
          <w:b/>
        </w:rPr>
        <w:t>P</w:t>
      </w:r>
      <w:r>
        <w:rPr>
          <w:rFonts w:eastAsiaTheme="minorEastAsia"/>
          <w:b/>
        </w:rPr>
        <w:t xml:space="preserve">roposition 4. </w:t>
      </w:r>
    </w:p>
    <w:p w14:paraId="6F4F8975" w14:textId="77777777" w:rsidR="00BF3069" w:rsidRPr="003674FB" w:rsidRDefault="00BF3069" w:rsidP="00BF3069">
      <w:pPr>
        <w:spacing w:line="360" w:lineRule="auto"/>
        <w:rPr>
          <w:rFonts w:eastAsiaTheme="minorEastAsia"/>
        </w:rPr>
      </w:pPr>
    </w:p>
    <w:p w14:paraId="59593EB8" w14:textId="77777777" w:rsidR="00BF3069" w:rsidRPr="003674FB" w:rsidRDefault="00BF3069" w:rsidP="00BF3069">
      <w:pPr>
        <w:spacing w:line="360" w:lineRule="auto"/>
        <w:rPr>
          <w:rFonts w:eastAsiaTheme="minorEastAsia"/>
          <w:shd w:val="clear" w:color="auto" w:fill="FFFFFF"/>
        </w:rPr>
      </w:pPr>
      <w:r w:rsidRPr="003674FB">
        <w:rPr>
          <w:rFonts w:eastAsiaTheme="minorEastAsia"/>
          <w:b/>
          <w:shd w:val="clear" w:color="auto" w:fill="FFFFFF"/>
        </w:rPr>
        <w:t>U</w:t>
      </w:r>
      <w:r w:rsidRPr="003674FB">
        <w:rPr>
          <w:rFonts w:eastAsiaTheme="minorEastAsia"/>
          <w:b/>
          <w:vertAlign w:val="subscript"/>
        </w:rPr>
        <w:t xml:space="preserve">L2,8 </w:t>
      </w:r>
      <w:r w:rsidRPr="003674FB">
        <w:rPr>
          <w:rFonts w:eastAsiaTheme="minorEastAsia"/>
        </w:rPr>
        <w:t>(X</w:t>
      </w:r>
      <w:r w:rsidRPr="003674FB">
        <w:rPr>
          <w:rFonts w:eastAsiaTheme="minorEastAsia"/>
          <w:vertAlign w:val="subscript"/>
        </w:rPr>
        <w:t>L2,8</w:t>
      </w:r>
      <w:r w:rsidRPr="003674FB">
        <w:rPr>
          <w:rFonts w:eastAsiaTheme="minorEastAsia"/>
        </w:rPr>
        <w:t xml:space="preserve"> , D</w:t>
      </w:r>
      <w:r w:rsidRPr="003674FB">
        <w:rPr>
          <w:rFonts w:eastAsiaTheme="minorEastAsia"/>
          <w:vertAlign w:val="subscript"/>
        </w:rPr>
        <w:t xml:space="preserve">C1,8 </w:t>
      </w:r>
      <w:r w:rsidRPr="003674FB">
        <w:rPr>
          <w:rFonts w:eastAsiaTheme="minorEastAsia"/>
          <w:shd w:val="clear" w:color="auto" w:fill="FFFFFF"/>
        </w:rPr>
        <w:t xml:space="preserve">, </w:t>
      </w:r>
      <w:r w:rsidRPr="003674FB">
        <w:rPr>
          <w:rFonts w:eastAsiaTheme="minorEastAsia"/>
        </w:rPr>
        <w:t>D</w:t>
      </w:r>
      <w:r w:rsidRPr="003674FB">
        <w:rPr>
          <w:rFonts w:eastAsiaTheme="minorEastAsia"/>
          <w:vertAlign w:val="subscript"/>
        </w:rPr>
        <w:t>C2,8</w:t>
      </w:r>
      <w:r w:rsidRPr="003674FB">
        <w:rPr>
          <w:rFonts w:eastAsiaTheme="minorEastAsia"/>
        </w:rPr>
        <w:t xml:space="preserve">) = </w:t>
      </w:r>
      <w:r w:rsidRPr="003674FB">
        <w:t>X</w:t>
      </w:r>
      <w:r w:rsidRPr="003674FB">
        <w:rPr>
          <w:vertAlign w:val="subscript"/>
        </w:rPr>
        <w:t xml:space="preserve">L2,8  </w:t>
      </w:r>
      <w:r w:rsidRPr="003674FB">
        <w:rPr>
          <w:rFonts w:eastAsiaTheme="minorEastAsia"/>
        </w:rPr>
        <w:t>+ r</w:t>
      </w:r>
      <w:r w:rsidRPr="003674FB">
        <w:rPr>
          <w:rFonts w:eastAsiaTheme="minorEastAsia"/>
          <w:vertAlign w:val="subscript"/>
        </w:rPr>
        <w:t>T</w:t>
      </w:r>
      <w:r w:rsidRPr="003674FB">
        <w:rPr>
          <w:rFonts w:eastAsiaTheme="minorEastAsia"/>
        </w:rPr>
        <w:t>(D</w:t>
      </w:r>
      <w:r w:rsidRPr="003674FB">
        <w:rPr>
          <w:rFonts w:eastAsiaTheme="minorEastAsia"/>
          <w:vertAlign w:val="subscript"/>
        </w:rPr>
        <w:t xml:space="preserve">C2,8 </w:t>
      </w:r>
      <w:r w:rsidRPr="003674FB">
        <w:rPr>
          <w:rFonts w:eastAsiaTheme="minorEastAsia"/>
        </w:rPr>
        <w:t>- D</w:t>
      </w:r>
      <w:r w:rsidRPr="003674FB">
        <w:rPr>
          <w:rFonts w:eastAsiaTheme="minorEastAsia"/>
          <w:vertAlign w:val="subscript"/>
        </w:rPr>
        <w:t>C1,8</w:t>
      </w:r>
      <w:r w:rsidRPr="003674FB">
        <w:rPr>
          <w:rFonts w:eastAsiaTheme="minorEastAsia"/>
        </w:rPr>
        <w:t xml:space="preserve">) </w:t>
      </w:r>
      <w:r w:rsidRPr="003674FB">
        <w:rPr>
          <w:rFonts w:eastAsiaTheme="minorEastAsia"/>
          <w:color w:val="000000" w:themeColor="text1"/>
        </w:rPr>
        <w:t xml:space="preserve">+ </w:t>
      </w:r>
      <m:oMath>
        <m:r>
          <w:rPr>
            <w:rFonts w:ascii="Cambria Math" w:eastAsiaTheme="minorEastAsia" w:hAnsi="Cambria Math"/>
            <w:color w:val="000000" w:themeColor="text1"/>
          </w:rPr>
          <m:t>ε</m:t>
        </m:r>
      </m:oMath>
      <w:r w:rsidRPr="003674FB">
        <w:rPr>
          <w:rFonts w:eastAsiaTheme="minorEastAsia"/>
          <w:color w:val="000000" w:themeColor="text1"/>
        </w:rPr>
        <w:t>(D</w:t>
      </w:r>
      <w:r w:rsidRPr="003674FB">
        <w:rPr>
          <w:rFonts w:eastAsiaTheme="minorEastAsia"/>
          <w:color w:val="000000" w:themeColor="text1"/>
          <w:vertAlign w:val="subscript"/>
        </w:rPr>
        <w:t xml:space="preserve">C2,8 </w:t>
      </w:r>
      <w:r w:rsidRPr="003674FB">
        <w:rPr>
          <w:rFonts w:eastAsiaTheme="minorEastAsia"/>
          <w:color w:val="000000" w:themeColor="text1"/>
        </w:rPr>
        <w:t>– D</w:t>
      </w:r>
      <w:r w:rsidRPr="003674FB">
        <w:rPr>
          <w:rFonts w:eastAsiaTheme="minorEastAsia"/>
          <w:color w:val="000000" w:themeColor="text1"/>
          <w:vertAlign w:val="subscript"/>
        </w:rPr>
        <w:t>C2max,8</w:t>
      </w:r>
      <w:r w:rsidRPr="003674FB">
        <w:rPr>
          <w:rFonts w:eastAsiaTheme="minorEastAsia"/>
          <w:color w:val="000000" w:themeColor="text1"/>
        </w:rPr>
        <w:t>)</w:t>
      </w:r>
      <w:r>
        <w:rPr>
          <w:rFonts w:eastAsiaTheme="minorEastAsia"/>
          <w:shd w:val="clear" w:color="auto" w:fill="FFFFFF"/>
        </w:rPr>
        <w:t xml:space="preserve"> - </w:t>
      </w:r>
      <w:r w:rsidRPr="004C7FE3">
        <w:t>E</w:t>
      </w:r>
      <w:r w:rsidRPr="004C7FE3">
        <w:rPr>
          <w:vertAlign w:val="subscript"/>
        </w:rPr>
        <w:t>2</w:t>
      </w:r>
      <w:r w:rsidRPr="003674FB">
        <w:rPr>
          <w:rFonts w:eastAsiaTheme="minorEastAsia"/>
          <w:shd w:val="clear" w:color="auto" w:fill="FFFFFF"/>
        </w:rPr>
        <w:tab/>
      </w:r>
      <w:r>
        <w:rPr>
          <w:rFonts w:eastAsiaTheme="minorEastAsia"/>
          <w:shd w:val="clear" w:color="auto" w:fill="FFFFFF"/>
        </w:rPr>
        <w:t xml:space="preserve">             </w:t>
      </w:r>
      <w:r w:rsidRPr="003674FB">
        <w:rPr>
          <w:rFonts w:eastAsiaTheme="minorEastAsia"/>
          <w:b/>
          <w:color w:val="000000" w:themeColor="text1"/>
        </w:rPr>
        <w:t>(9)</w:t>
      </w:r>
    </w:p>
    <w:p w14:paraId="4FC8045D" w14:textId="77777777" w:rsidR="00BF3069" w:rsidRPr="003674FB" w:rsidRDefault="00BF3069" w:rsidP="00BF3069">
      <w:pPr>
        <w:spacing w:line="360" w:lineRule="auto"/>
        <w:rPr>
          <w:rFonts w:eastAsiaTheme="minorEastAsia"/>
          <w:bCs/>
          <w:i/>
          <w:iCs/>
          <w:shd w:val="clear" w:color="auto" w:fill="FFFFFF"/>
        </w:rPr>
      </w:pPr>
    </w:p>
    <w:p w14:paraId="475C56BA" w14:textId="77777777" w:rsidR="00BF3069" w:rsidRDefault="00BF3069" w:rsidP="00BF3069">
      <w:pPr>
        <w:spacing w:line="360" w:lineRule="auto"/>
        <w:rPr>
          <w:rFonts w:eastAsiaTheme="minorEastAsia"/>
          <w:sz w:val="22"/>
          <w:szCs w:val="22"/>
        </w:rPr>
      </w:pP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sidRPr="003674FB">
        <w:rPr>
          <w:rFonts w:eastAsiaTheme="minorEastAsia"/>
          <w:color w:val="000000" w:themeColor="text1"/>
          <w:sz w:val="22"/>
          <w:szCs w:val="22"/>
          <w:vertAlign w:val="subscript"/>
        </w:rPr>
        <w:t xml:space="preserve">L2,8 </w:t>
      </w:r>
      <w:r w:rsidRPr="003674FB">
        <w:rPr>
          <w:rFonts w:eastAsiaTheme="minorEastAsia"/>
          <w:color w:val="000000" w:themeColor="text1"/>
          <w:sz w:val="22"/>
          <w:szCs w:val="22"/>
        </w:rPr>
        <w:t xml:space="preserve">= </w:t>
      </w:r>
      <w:r w:rsidRPr="003674FB">
        <w:rPr>
          <w:rFonts w:eastAsiaTheme="minorEastAsia"/>
          <w:sz w:val="22"/>
          <w:szCs w:val="22"/>
          <w:shd w:val="clear" w:color="auto" w:fill="FFFFFF"/>
        </w:rPr>
        <w:t>U</w:t>
      </w:r>
      <w:r w:rsidRPr="003674FB">
        <w:rPr>
          <w:rFonts w:eastAsiaTheme="minorEastAsia"/>
          <w:sz w:val="22"/>
          <w:szCs w:val="22"/>
          <w:vertAlign w:val="subscript"/>
        </w:rPr>
        <w:t xml:space="preserve">L2,8 </w:t>
      </w:r>
      <w:r w:rsidRPr="003674FB">
        <w:rPr>
          <w:rFonts w:eastAsiaTheme="minorEastAsia"/>
          <w:sz w:val="22"/>
          <w:szCs w:val="22"/>
        </w:rPr>
        <w:t>(X</w:t>
      </w:r>
      <w:r w:rsidRPr="003674FB">
        <w:rPr>
          <w:rFonts w:eastAsiaTheme="minorEastAsia"/>
          <w:sz w:val="22"/>
          <w:szCs w:val="22"/>
          <w:vertAlign w:val="subscript"/>
        </w:rPr>
        <w:t>L2,8</w:t>
      </w:r>
      <w:r w:rsidRPr="003674FB">
        <w:rPr>
          <w:rFonts w:eastAsiaTheme="minorEastAsia"/>
          <w:sz w:val="22"/>
          <w:szCs w:val="22"/>
        </w:rPr>
        <w:t xml:space="preserve"> , D</w:t>
      </w:r>
      <w:r w:rsidRPr="003674FB">
        <w:rPr>
          <w:rFonts w:eastAsiaTheme="minorEastAsia"/>
          <w:sz w:val="22"/>
          <w:szCs w:val="22"/>
          <w:vertAlign w:val="subscript"/>
        </w:rPr>
        <w:t xml:space="preserve">C1,8 </w:t>
      </w:r>
      <w:r w:rsidRPr="003674FB">
        <w:rPr>
          <w:rFonts w:eastAsiaTheme="minorEastAsia"/>
          <w:sz w:val="22"/>
          <w:szCs w:val="22"/>
          <w:shd w:val="clear" w:color="auto" w:fill="FFFFFF"/>
        </w:rPr>
        <w:t xml:space="preserve">, </w:t>
      </w:r>
      <w:r w:rsidRPr="003674FB">
        <w:rPr>
          <w:rFonts w:eastAsiaTheme="minorEastAsia"/>
          <w:sz w:val="22"/>
          <w:szCs w:val="22"/>
        </w:rPr>
        <w:t>D</w:t>
      </w:r>
      <w:r w:rsidRPr="003674FB">
        <w:rPr>
          <w:rFonts w:eastAsiaTheme="minorEastAsia"/>
          <w:sz w:val="22"/>
          <w:szCs w:val="22"/>
          <w:vertAlign w:val="subscript"/>
        </w:rPr>
        <w:t>C2,8</w:t>
      </w:r>
      <w:r>
        <w:rPr>
          <w:rFonts w:eastAsiaTheme="minorEastAsia"/>
          <w:sz w:val="22"/>
          <w:szCs w:val="22"/>
          <w:vertAlign w:val="subscript"/>
        </w:rPr>
        <w:t xml:space="preserve"> </w:t>
      </w:r>
      <w:r>
        <w:rPr>
          <w:rFonts w:eastAsiaTheme="minorEastAsia"/>
          <w:sz w:val="22"/>
          <w:szCs w:val="22"/>
        </w:rPr>
        <w:t>, E</w:t>
      </w:r>
      <w:r>
        <w:rPr>
          <w:rFonts w:eastAsiaTheme="minorEastAsia"/>
          <w:sz w:val="22"/>
          <w:szCs w:val="22"/>
          <w:vertAlign w:val="subscript"/>
        </w:rPr>
        <w:t>2</w:t>
      </w:r>
      <w:r w:rsidRPr="003674FB">
        <w:rPr>
          <w:rFonts w:eastAsiaTheme="minorEastAsia"/>
          <w:sz w:val="22"/>
          <w:szCs w:val="22"/>
        </w:rPr>
        <w:t xml:space="preserve">) - </w:t>
      </w:r>
      <w:r w:rsidRPr="003674FB">
        <w:rPr>
          <w:rFonts w:eastAsiaTheme="minorEastAsia"/>
          <w:sz w:val="22"/>
          <w:szCs w:val="22"/>
          <w:shd w:val="clear" w:color="auto" w:fill="FFFFFF"/>
        </w:rPr>
        <w:t>U</w:t>
      </w:r>
      <w:r>
        <w:rPr>
          <w:rFonts w:eastAsiaTheme="minorEastAsia"/>
          <w:sz w:val="22"/>
          <w:szCs w:val="22"/>
          <w:vertAlign w:val="subscript"/>
        </w:rPr>
        <w:t>L2,7</w:t>
      </w:r>
      <w:r w:rsidRPr="003674FB">
        <w:rPr>
          <w:rFonts w:eastAsiaTheme="minorEastAsia"/>
          <w:sz w:val="22"/>
          <w:szCs w:val="22"/>
          <w:vertAlign w:val="subscript"/>
        </w:rPr>
        <w:t xml:space="preserve"> </w:t>
      </w:r>
      <w:r w:rsidRPr="003674FB">
        <w:rPr>
          <w:rFonts w:eastAsiaTheme="minorEastAsia"/>
          <w:sz w:val="22"/>
          <w:szCs w:val="22"/>
        </w:rPr>
        <w:t>(X</w:t>
      </w:r>
      <w:r w:rsidRPr="003674FB">
        <w:rPr>
          <w:rFonts w:eastAsiaTheme="minorEastAsia"/>
          <w:sz w:val="22"/>
          <w:szCs w:val="22"/>
          <w:vertAlign w:val="subscript"/>
        </w:rPr>
        <w:t>L2,7</w:t>
      </w:r>
      <w:r w:rsidRPr="003674FB">
        <w:rPr>
          <w:rFonts w:eastAsiaTheme="minorEastAsia"/>
          <w:sz w:val="22"/>
          <w:szCs w:val="22"/>
        </w:rPr>
        <w:t>, D</w:t>
      </w:r>
      <w:r w:rsidRPr="003674FB">
        <w:rPr>
          <w:rFonts w:eastAsiaTheme="minorEastAsia"/>
          <w:sz w:val="22"/>
          <w:szCs w:val="22"/>
          <w:vertAlign w:val="subscript"/>
        </w:rPr>
        <w:t xml:space="preserve">C1,7 </w:t>
      </w:r>
      <w:r w:rsidRPr="003674FB">
        <w:rPr>
          <w:rFonts w:eastAsiaTheme="minorEastAsia"/>
          <w:sz w:val="22"/>
          <w:szCs w:val="22"/>
          <w:shd w:val="clear" w:color="auto" w:fill="FFFFFF"/>
        </w:rPr>
        <w:t xml:space="preserve">, </w:t>
      </w:r>
      <w:r w:rsidRPr="003674FB">
        <w:rPr>
          <w:rFonts w:eastAsiaTheme="minorEastAsia"/>
          <w:sz w:val="22"/>
          <w:szCs w:val="22"/>
        </w:rPr>
        <w:t>D</w:t>
      </w:r>
      <w:r w:rsidRPr="003674FB">
        <w:rPr>
          <w:rFonts w:eastAsiaTheme="minorEastAsia"/>
          <w:sz w:val="22"/>
          <w:szCs w:val="22"/>
          <w:vertAlign w:val="subscript"/>
        </w:rPr>
        <w:t>C2,7</w:t>
      </w:r>
      <w:r w:rsidRPr="003674FB">
        <w:rPr>
          <w:rFonts w:eastAsiaTheme="minorEastAsia"/>
          <w:sz w:val="22"/>
          <w:szCs w:val="22"/>
        </w:rPr>
        <w:t>)</w:t>
      </w:r>
    </w:p>
    <w:p w14:paraId="3C77E979" w14:textId="77777777" w:rsidR="00BF3069" w:rsidRPr="005F6890" w:rsidRDefault="00BF3069" w:rsidP="00BF3069">
      <w:pPr>
        <w:spacing w:line="360" w:lineRule="auto"/>
        <w:rPr>
          <w:color w:val="000000" w:themeColor="text1"/>
          <w:sz w:val="22"/>
          <w:szCs w:val="22"/>
          <w:vertAlign w:val="subscript"/>
        </w:rPr>
      </w:pPr>
      <m:oMath>
        <m:r>
          <w:rPr>
            <w:rFonts w:ascii="Cambria Math" w:eastAsiaTheme="minorEastAsia" w:hAnsi="Cambria Math"/>
            <w:color w:val="000000" w:themeColor="text1"/>
            <w:sz w:val="22"/>
            <w:szCs w:val="22"/>
          </w:rPr>
          <m:t>∆</m:t>
        </m:r>
      </m:oMath>
      <w:r w:rsidRPr="005F6890">
        <w:rPr>
          <w:color w:val="000000" w:themeColor="text1"/>
          <w:sz w:val="22"/>
          <w:szCs w:val="22"/>
        </w:rPr>
        <w:t>X</w:t>
      </w:r>
      <w:r w:rsidRPr="005F6890">
        <w:rPr>
          <w:color w:val="000000" w:themeColor="text1"/>
          <w:sz w:val="22"/>
          <w:szCs w:val="22"/>
          <w:vertAlign w:val="subscript"/>
        </w:rPr>
        <w:t xml:space="preserve">L2,8  </w:t>
      </w:r>
      <w:r w:rsidRPr="005F6890">
        <w:rPr>
          <w:rFonts w:eastAsiaTheme="minorEastAsia"/>
          <w:b/>
          <w:color w:val="000000" w:themeColor="text1"/>
          <w:sz w:val="22"/>
          <w:szCs w:val="22"/>
        </w:rPr>
        <w:t xml:space="preserve">= </w:t>
      </w:r>
      <w:r w:rsidRPr="005F6890">
        <w:rPr>
          <w:color w:val="000000" w:themeColor="text1"/>
          <w:sz w:val="22"/>
          <w:szCs w:val="22"/>
        </w:rPr>
        <w:t>X</w:t>
      </w:r>
      <w:r w:rsidRPr="005F6890">
        <w:rPr>
          <w:color w:val="000000" w:themeColor="text1"/>
          <w:sz w:val="22"/>
          <w:szCs w:val="22"/>
          <w:vertAlign w:val="subscript"/>
        </w:rPr>
        <w:t xml:space="preserve">L2,8 </w:t>
      </w:r>
      <w:r w:rsidRPr="005F6890">
        <w:rPr>
          <w:color w:val="000000" w:themeColor="text1"/>
          <w:sz w:val="22"/>
          <w:szCs w:val="22"/>
        </w:rPr>
        <w:t>- X</w:t>
      </w:r>
      <w:r w:rsidRPr="005F6890">
        <w:rPr>
          <w:color w:val="000000" w:themeColor="text1"/>
          <w:sz w:val="22"/>
          <w:szCs w:val="22"/>
          <w:vertAlign w:val="subscript"/>
        </w:rPr>
        <w:t xml:space="preserve">L2,7 </w:t>
      </w:r>
    </w:p>
    <w:p w14:paraId="5F44A0DF" w14:textId="77777777" w:rsidR="00BF3069" w:rsidRPr="003674FB" w:rsidRDefault="00BF3069" w:rsidP="00BF3069">
      <w:pPr>
        <w:spacing w:line="360" w:lineRule="auto"/>
        <w:rPr>
          <w:color w:val="000000" w:themeColor="text1"/>
          <w:sz w:val="22"/>
          <w:szCs w:val="22"/>
        </w:rPr>
      </w:pPr>
      <w:r w:rsidRPr="003674FB">
        <w:rPr>
          <w:rFonts w:eastAsiaTheme="minorEastAsia"/>
          <w:sz w:val="22"/>
          <w:szCs w:val="22"/>
        </w:rPr>
        <w:t>r</w:t>
      </w:r>
      <w:r w:rsidRPr="003674FB">
        <w:rPr>
          <w:rFonts w:eastAsiaTheme="minorEastAsia"/>
          <w:sz w:val="22"/>
          <w:szCs w:val="22"/>
          <w:vertAlign w:val="subscript"/>
        </w:rPr>
        <w:t>T</w:t>
      </w:r>
      <w:r w:rsidRPr="003674FB">
        <w:rPr>
          <w:rFonts w:eastAsiaTheme="minorEastAsia"/>
          <w:sz w:val="22"/>
          <w:szCs w:val="22"/>
        </w:rPr>
        <w:t xml:space="preserve"> </w:t>
      </w:r>
      <m:oMath>
        <m:r>
          <w:rPr>
            <w:rFonts w:ascii="Cambria Math" w:eastAsiaTheme="minorEastAsia" w:hAnsi="Cambria Math"/>
            <w:sz w:val="22"/>
            <w:szCs w:val="22"/>
          </w:rPr>
          <m:t>(</m:t>
        </m:r>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 xml:space="preserve">C2,8 - </w:t>
      </w:r>
      <m:oMath>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C1,8</w:t>
      </w:r>
      <w:r w:rsidRPr="003674FB">
        <w:rPr>
          <w:rFonts w:eastAsiaTheme="minorEastAsia"/>
          <w:sz w:val="22"/>
          <w:szCs w:val="22"/>
        </w:rPr>
        <w:t>) = r</w:t>
      </w:r>
      <w:r w:rsidRPr="003674FB">
        <w:rPr>
          <w:rFonts w:eastAsiaTheme="minorEastAsia"/>
          <w:sz w:val="22"/>
          <w:szCs w:val="22"/>
          <w:vertAlign w:val="subscript"/>
        </w:rPr>
        <w:t>T</w:t>
      </w:r>
      <w:r w:rsidRPr="003674FB">
        <w:rPr>
          <w:rFonts w:eastAsiaTheme="minorEastAsia"/>
          <w:sz w:val="22"/>
          <w:szCs w:val="22"/>
        </w:rPr>
        <w:t>((</w:t>
      </w:r>
      <w:r w:rsidRPr="003674FB">
        <w:rPr>
          <w:rFonts w:eastAsiaTheme="minorEastAsia"/>
        </w:rPr>
        <w:t>D</w:t>
      </w:r>
      <w:r w:rsidRPr="003674FB">
        <w:rPr>
          <w:rFonts w:eastAsiaTheme="minorEastAsia"/>
          <w:vertAlign w:val="subscript"/>
        </w:rPr>
        <w:t xml:space="preserve">C2,8 </w:t>
      </w:r>
      <w:r w:rsidRPr="003674FB">
        <w:rPr>
          <w:color w:val="000000" w:themeColor="text1"/>
          <w:sz w:val="22"/>
          <w:szCs w:val="22"/>
        </w:rPr>
        <w:t xml:space="preserve">- </w:t>
      </w:r>
      <w:r w:rsidRPr="003674FB">
        <w:rPr>
          <w:rFonts w:eastAsiaTheme="minorEastAsia"/>
        </w:rPr>
        <w:t>D</w:t>
      </w:r>
      <w:r w:rsidRPr="003674FB">
        <w:rPr>
          <w:rFonts w:eastAsiaTheme="minorEastAsia"/>
          <w:vertAlign w:val="subscript"/>
        </w:rPr>
        <w:t>C2,7</w:t>
      </w:r>
      <w:r w:rsidRPr="003674FB">
        <w:rPr>
          <w:rFonts w:eastAsiaTheme="minorEastAsia"/>
        </w:rPr>
        <w:t>) – (</w:t>
      </w:r>
      <w:r w:rsidRPr="003674FB">
        <w:rPr>
          <w:rFonts w:eastAsiaTheme="minorEastAsia"/>
          <w:sz w:val="22"/>
          <w:szCs w:val="22"/>
        </w:rPr>
        <w:t>D</w:t>
      </w:r>
      <w:r w:rsidRPr="003674FB">
        <w:rPr>
          <w:rFonts w:eastAsiaTheme="minorEastAsia"/>
          <w:sz w:val="22"/>
          <w:szCs w:val="22"/>
          <w:vertAlign w:val="subscript"/>
        </w:rPr>
        <w:t xml:space="preserve">C1,8 </w:t>
      </w:r>
      <w:r w:rsidRPr="003674FB">
        <w:rPr>
          <w:rFonts w:eastAsiaTheme="minorEastAsia"/>
          <w:sz w:val="22"/>
          <w:szCs w:val="22"/>
        </w:rPr>
        <w:t>- D</w:t>
      </w:r>
      <w:r w:rsidRPr="003674FB">
        <w:rPr>
          <w:rFonts w:eastAsiaTheme="minorEastAsia"/>
          <w:sz w:val="22"/>
          <w:szCs w:val="22"/>
          <w:vertAlign w:val="subscript"/>
        </w:rPr>
        <w:t>C1,7</w:t>
      </w:r>
      <w:r w:rsidRPr="003674FB">
        <w:rPr>
          <w:rFonts w:eastAsiaTheme="minorEastAsia"/>
          <w:sz w:val="22"/>
          <w:szCs w:val="22"/>
        </w:rPr>
        <w:t>))</w:t>
      </w:r>
    </w:p>
    <w:p w14:paraId="66DC63A6" w14:textId="77777777" w:rsidR="00BF3069" w:rsidRPr="003674FB" w:rsidRDefault="00BF3069" w:rsidP="00BF3069">
      <w:pPr>
        <w:spacing w:line="360" w:lineRule="auto"/>
        <w:rPr>
          <w:color w:val="000000" w:themeColor="text1"/>
          <w:sz w:val="22"/>
          <w:szCs w:val="22"/>
        </w:rPr>
      </w:pP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C2,8 </w:t>
      </w:r>
      <w:r w:rsidRPr="003674FB">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C2max,8</w:t>
      </w:r>
      <w:r w:rsidRPr="003674FB">
        <w:rPr>
          <w:rFonts w:eastAsiaTheme="minorEastAsia"/>
          <w:color w:val="000000" w:themeColor="text1"/>
          <w:sz w:val="22"/>
          <w:szCs w:val="22"/>
        </w:rPr>
        <w:t xml:space="preserve">) =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C2,8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C2,7</w:t>
      </w:r>
      <w:r w:rsidRPr="003674FB">
        <w:rPr>
          <w:rFonts w:eastAsiaTheme="minorEastAsia"/>
          <w:color w:val="000000" w:themeColor="text1"/>
          <w:sz w:val="22"/>
          <w:szCs w:val="22"/>
        </w:rPr>
        <w:t>) – (D</w:t>
      </w:r>
      <w:r w:rsidRPr="003674FB">
        <w:rPr>
          <w:rFonts w:eastAsiaTheme="minorEastAsia"/>
          <w:color w:val="000000" w:themeColor="text1"/>
          <w:sz w:val="22"/>
          <w:szCs w:val="22"/>
          <w:vertAlign w:val="subscript"/>
        </w:rPr>
        <w:t>C2max,8</w:t>
      </w:r>
      <w:r w:rsidRPr="003674FB">
        <w:rPr>
          <w:rFonts w:eastAsiaTheme="minorEastAsia"/>
          <w:color w:val="000000" w:themeColor="text1"/>
          <w:sz w:val="22"/>
          <w:szCs w:val="22"/>
        </w:rPr>
        <w:t xml:space="preserve"> - D</w:t>
      </w:r>
      <w:r w:rsidRPr="003674FB">
        <w:rPr>
          <w:rFonts w:eastAsiaTheme="minorEastAsia"/>
          <w:color w:val="000000" w:themeColor="text1"/>
          <w:sz w:val="22"/>
          <w:szCs w:val="22"/>
          <w:vertAlign w:val="subscript"/>
        </w:rPr>
        <w:t>C2max,7</w:t>
      </w:r>
      <w:r w:rsidRPr="003674FB">
        <w:rPr>
          <w:rFonts w:eastAsiaTheme="minorEastAsia"/>
          <w:color w:val="000000" w:themeColor="text1"/>
          <w:sz w:val="22"/>
          <w:szCs w:val="22"/>
        </w:rPr>
        <w:t xml:space="preserve">)) </w:t>
      </w:r>
      <w:r>
        <w:rPr>
          <w:rFonts w:eastAsiaTheme="minorEastAsia"/>
          <w:color w:val="000000" w:themeColor="text1"/>
          <w:sz w:val="22"/>
          <w:szCs w:val="22"/>
        </w:rPr>
        <w:t xml:space="preserve">= </w:t>
      </w:r>
      <m:oMath>
        <m:r>
          <m:rPr>
            <m:sty m:val="p"/>
          </m:rPr>
          <w:rPr>
            <w:rFonts w:ascii="Cambria Math" w:eastAsiaTheme="minorEastAsia" w:hAnsi="Cambria Math"/>
            <w:color w:val="000000" w:themeColor="text1"/>
            <w:sz w:val="22"/>
            <w:szCs w:val="22"/>
          </w:rPr>
          <m:t>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 xml:space="preserve">C2,8 </w:t>
      </w:r>
      <w:r w:rsidRPr="003674FB">
        <w:rPr>
          <w:rFonts w:eastAsiaTheme="minorEastAsia"/>
          <w:color w:val="000000" w:themeColor="text1"/>
          <w:sz w:val="22"/>
          <w:szCs w:val="22"/>
        </w:rPr>
        <w:t>- D</w:t>
      </w:r>
      <w:r w:rsidRPr="003674FB">
        <w:rPr>
          <w:rFonts w:eastAsiaTheme="minorEastAsia"/>
          <w:color w:val="000000" w:themeColor="text1"/>
          <w:sz w:val="22"/>
          <w:szCs w:val="22"/>
          <w:vertAlign w:val="subscript"/>
        </w:rPr>
        <w:t>C2,7</w:t>
      </w:r>
      <w:r w:rsidRPr="003674FB">
        <w:rPr>
          <w:rFonts w:eastAsiaTheme="minorEastAsia"/>
          <w:color w:val="000000" w:themeColor="text1"/>
          <w:sz w:val="22"/>
          <w:szCs w:val="22"/>
        </w:rPr>
        <w:t>)</w:t>
      </w:r>
      <w:r>
        <w:rPr>
          <w:rFonts w:eastAsiaTheme="minorEastAsia"/>
          <w:color w:val="000000" w:themeColor="text1"/>
          <w:sz w:val="22"/>
          <w:szCs w:val="22"/>
        </w:rPr>
        <w:t>)</w:t>
      </w:r>
    </w:p>
    <w:p w14:paraId="2FE7D2F0" w14:textId="77777777" w:rsidR="00BF3069" w:rsidRDefault="00BF3069" w:rsidP="00BF3069">
      <w:pPr>
        <w:spacing w:line="360" w:lineRule="auto"/>
        <w:rPr>
          <w:rFonts w:eastAsiaTheme="minorEastAsia"/>
          <w:sz w:val="22"/>
          <w:szCs w:val="22"/>
        </w:rPr>
      </w:pPr>
    </w:p>
    <w:p w14:paraId="6B940FC9" w14:textId="77777777" w:rsidR="00BF3069" w:rsidRDefault="00BF3069" w:rsidP="00BF3069">
      <w:pPr>
        <w:spacing w:line="360" w:lineRule="auto"/>
        <w:rPr>
          <w:rFonts w:eastAsiaTheme="minorEastAsia"/>
          <w:color w:val="000000" w:themeColor="text1"/>
          <w:sz w:val="22"/>
          <w:szCs w:val="22"/>
          <w:shd w:val="clear" w:color="auto" w:fill="FFFFFF"/>
        </w:rPr>
      </w:pPr>
      <w:r w:rsidRPr="003674FB">
        <w:rPr>
          <w:rFonts w:eastAsiaTheme="minorEastAsia"/>
          <w:sz w:val="22"/>
          <w:szCs w:val="22"/>
        </w:rPr>
        <w:t xml:space="preserve">For the </w:t>
      </w:r>
      <w:r>
        <w:rPr>
          <w:rFonts w:eastAsiaTheme="minorEastAsia"/>
          <w:sz w:val="22"/>
          <w:szCs w:val="22"/>
        </w:rPr>
        <w:t>risk-averse L</w:t>
      </w:r>
      <w:r>
        <w:rPr>
          <w:rFonts w:eastAsiaTheme="minorEastAsia"/>
          <w:sz w:val="22"/>
          <w:szCs w:val="22"/>
          <w:vertAlign w:val="subscript"/>
        </w:rPr>
        <w:t>2</w:t>
      </w:r>
      <w:r>
        <w:rPr>
          <w:rFonts w:eastAsiaTheme="minorEastAsia"/>
          <w:sz w:val="22"/>
          <w:szCs w:val="22"/>
        </w:rPr>
        <w:t xml:space="preserve"> it must hold that </w:t>
      </w:r>
      <m:oMath>
        <m:r>
          <w:rPr>
            <w:rFonts w:ascii="Cambria Math" w:eastAsiaTheme="minorEastAsia" w:hAnsi="Cambria Math"/>
            <w:color w:val="000000" w:themeColor="text1"/>
            <w:sz w:val="22"/>
            <w:szCs w:val="22"/>
          </w:rPr>
          <m:t>∆</m:t>
        </m:r>
      </m:oMath>
      <w:r w:rsidRPr="003674FB">
        <w:rPr>
          <w:rFonts w:eastAsiaTheme="minorEastAsia"/>
          <w:color w:val="000000" w:themeColor="text1"/>
          <w:sz w:val="22"/>
          <w:szCs w:val="22"/>
          <w:shd w:val="clear" w:color="auto" w:fill="FFFFFF"/>
        </w:rPr>
        <w:t>U</w:t>
      </w:r>
      <w:r>
        <w:rPr>
          <w:rFonts w:eastAsiaTheme="minorEastAsia"/>
          <w:color w:val="000000" w:themeColor="text1"/>
          <w:sz w:val="22"/>
          <w:szCs w:val="22"/>
          <w:vertAlign w:val="subscript"/>
        </w:rPr>
        <w:t>L2,8</w:t>
      </w:r>
      <w:r w:rsidRPr="003674FB">
        <w:rPr>
          <w:rFonts w:eastAsiaTheme="minorEastAsia"/>
          <w:color w:val="000000" w:themeColor="text1"/>
          <w:sz w:val="22"/>
          <w:szCs w:val="22"/>
          <w:vertAlign w:val="subscript"/>
        </w:rPr>
        <w:t xml:space="preserve"> </w:t>
      </w:r>
      <m:oMath>
        <m:r>
          <w:rPr>
            <w:rFonts w:ascii="Cambria Math" w:eastAsiaTheme="minorEastAsia" w:hAnsi="Cambria Math"/>
            <w:color w:val="000000" w:themeColor="text1"/>
            <w:sz w:val="22"/>
            <w:szCs w:val="22"/>
            <w:shd w:val="clear" w:color="auto" w:fill="FFFFFF"/>
          </w:rPr>
          <m:t>≥</m:t>
        </m:r>
      </m:oMath>
      <w:r>
        <w:rPr>
          <w:rFonts w:eastAsiaTheme="minorEastAsia"/>
          <w:color w:val="000000" w:themeColor="text1"/>
          <w:sz w:val="22"/>
          <w:szCs w:val="22"/>
          <w:shd w:val="clear" w:color="auto" w:fill="FFFFFF"/>
        </w:rPr>
        <w:t xml:space="preserve"> 0 even in the event of a trial-loss, that is:</w:t>
      </w:r>
    </w:p>
    <w:p w14:paraId="2A2E809E" w14:textId="77777777" w:rsidR="00BF3069" w:rsidRDefault="00BF3069" w:rsidP="00BF3069">
      <w:pPr>
        <w:spacing w:line="360" w:lineRule="auto"/>
        <w:rPr>
          <w:rFonts w:eastAsiaTheme="minorEastAsia"/>
          <w:color w:val="000000" w:themeColor="text1"/>
          <w:sz w:val="22"/>
          <w:szCs w:val="22"/>
          <w:shd w:val="clear" w:color="auto" w:fill="FFFFFF"/>
        </w:rPr>
      </w:pPr>
      <m:oMath>
        <m:r>
          <w:rPr>
            <w:rFonts w:ascii="Cambria Math" w:eastAsiaTheme="minorEastAsia" w:hAnsi="Cambria Math"/>
            <w:color w:val="000000" w:themeColor="text1"/>
            <w:sz w:val="22"/>
            <w:szCs w:val="22"/>
          </w:rPr>
          <m:t>∆</m:t>
        </m:r>
      </m:oMath>
      <w:r w:rsidRPr="003674FB">
        <w:rPr>
          <w:color w:val="000000" w:themeColor="text1"/>
          <w:sz w:val="22"/>
          <w:szCs w:val="22"/>
        </w:rPr>
        <w:t>X</w:t>
      </w:r>
      <w:r>
        <w:rPr>
          <w:color w:val="000000" w:themeColor="text1"/>
          <w:sz w:val="22"/>
          <w:szCs w:val="22"/>
          <w:vertAlign w:val="subscript"/>
        </w:rPr>
        <w:t>L2,8</w:t>
      </w:r>
      <w:r w:rsidRPr="003674FB">
        <w:rPr>
          <w:color w:val="000000" w:themeColor="text1"/>
          <w:sz w:val="22"/>
          <w:szCs w:val="22"/>
          <w:vertAlign w:val="subscript"/>
        </w:rPr>
        <w:t xml:space="preserve"> </w:t>
      </w:r>
      <w:r w:rsidRPr="003674FB">
        <w:rPr>
          <w:color w:val="000000" w:themeColor="text1"/>
          <w:sz w:val="22"/>
          <w:szCs w:val="22"/>
        </w:rPr>
        <w:t xml:space="preserve">+ </w:t>
      </w:r>
      <w:r w:rsidRPr="003674FB">
        <w:rPr>
          <w:rFonts w:eastAsiaTheme="minorEastAsia"/>
          <w:sz w:val="22"/>
          <w:szCs w:val="22"/>
        </w:rPr>
        <w:t>r</w:t>
      </w:r>
      <w:r w:rsidRPr="003674FB">
        <w:rPr>
          <w:rFonts w:eastAsiaTheme="minorEastAsia"/>
          <w:sz w:val="22"/>
          <w:szCs w:val="22"/>
          <w:vertAlign w:val="subscript"/>
        </w:rPr>
        <w:t>T</w:t>
      </w:r>
      <m:oMath>
        <m:r>
          <w:rPr>
            <w:rFonts w:ascii="Cambria Math" w:eastAsiaTheme="minorEastAsia" w:hAnsi="Cambria Math"/>
            <w:sz w:val="22"/>
            <w:szCs w:val="22"/>
          </w:rPr>
          <m:t>(</m:t>
        </m:r>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 xml:space="preserve">C2,8 </w:t>
      </w:r>
      <w:r w:rsidRPr="006944F0">
        <w:rPr>
          <w:rFonts w:eastAsiaTheme="minorEastAsia"/>
          <w:sz w:val="22"/>
          <w:szCs w:val="22"/>
        </w:rPr>
        <w:t>-</w:t>
      </w:r>
      <w:r w:rsidRPr="003674FB">
        <w:rPr>
          <w:rFonts w:eastAsiaTheme="minorEastAsia"/>
          <w:sz w:val="22"/>
          <w:szCs w:val="22"/>
          <w:vertAlign w:val="subscript"/>
        </w:rPr>
        <w:t xml:space="preserve"> </w:t>
      </w:r>
      <m:oMath>
        <m:r>
          <w:rPr>
            <w:rFonts w:ascii="Cambria Math" w:eastAsiaTheme="minorEastAsia" w:hAnsi="Cambria Math"/>
            <w:color w:val="000000" w:themeColor="text1"/>
            <w:sz w:val="22"/>
            <w:szCs w:val="22"/>
          </w:rPr>
          <m:t>∆</m:t>
        </m:r>
      </m:oMath>
      <w:r w:rsidRPr="003674FB">
        <w:rPr>
          <w:rFonts w:eastAsiaTheme="minorEastAsia"/>
          <w:sz w:val="22"/>
          <w:szCs w:val="22"/>
        </w:rPr>
        <w:t>D</w:t>
      </w:r>
      <w:r w:rsidRPr="003674FB">
        <w:rPr>
          <w:rFonts w:eastAsiaTheme="minorEastAsia"/>
          <w:sz w:val="22"/>
          <w:szCs w:val="22"/>
          <w:vertAlign w:val="subscript"/>
        </w:rPr>
        <w:t>C1,8</w:t>
      </w:r>
      <w:r w:rsidRPr="003674FB">
        <w:rPr>
          <w:rFonts w:eastAsiaTheme="minorEastAsia"/>
          <w:sz w:val="22"/>
          <w:szCs w:val="22"/>
        </w:rPr>
        <w:t>) +</w:t>
      </w:r>
      <m:oMath>
        <m:r>
          <m:rPr>
            <m:sty m:val="p"/>
          </m:rPr>
          <w:rPr>
            <w:rFonts w:ascii="Cambria Math" w:eastAsiaTheme="minorEastAsia" w:hAnsi="Cambria Math"/>
            <w:color w:val="000000" w:themeColor="text1"/>
            <w:sz w:val="22"/>
            <w:szCs w:val="22"/>
          </w:rPr>
          <m:t xml:space="preserve"> ε(∆</m:t>
        </m:r>
      </m:oMath>
      <w:r w:rsidRPr="003674FB">
        <w:rPr>
          <w:rFonts w:eastAsiaTheme="minorEastAsia"/>
          <w:color w:val="000000" w:themeColor="text1"/>
          <w:sz w:val="22"/>
          <w:szCs w:val="22"/>
        </w:rPr>
        <w:t>D</w:t>
      </w:r>
      <w:r w:rsidRPr="003674FB">
        <w:rPr>
          <w:rFonts w:eastAsiaTheme="minorEastAsia"/>
          <w:color w:val="000000" w:themeColor="text1"/>
          <w:sz w:val="22"/>
          <w:szCs w:val="22"/>
          <w:vertAlign w:val="subscript"/>
        </w:rPr>
        <w:t>C2,8</w:t>
      </w:r>
      <w:r w:rsidRPr="003674FB">
        <w:rPr>
          <w:rFonts w:eastAsiaTheme="minorEastAsia"/>
          <w:color w:val="000000" w:themeColor="text1"/>
          <w:sz w:val="22"/>
          <w:szCs w:val="22"/>
        </w:rPr>
        <w:t>)</w:t>
      </w:r>
      <w:r w:rsidRPr="0043451C">
        <w:rPr>
          <w:rFonts w:eastAsiaTheme="minorEastAsia"/>
          <w:shd w:val="clear" w:color="auto" w:fill="FFFFFF"/>
        </w:rPr>
        <w:t xml:space="preserve"> </w:t>
      </w:r>
      <w:r>
        <w:rPr>
          <w:rFonts w:eastAsiaTheme="minorEastAsia"/>
          <w:shd w:val="clear" w:color="auto" w:fill="FFFFFF"/>
        </w:rPr>
        <w:t xml:space="preserve">- </w:t>
      </w:r>
      <w:r w:rsidRPr="004C7FE3">
        <w:t>E</w:t>
      </w:r>
      <w:r w:rsidRPr="004C7FE3">
        <w:rPr>
          <w:vertAlign w:val="subscript"/>
        </w:rPr>
        <w:t>2</w:t>
      </w:r>
      <w:r w:rsidRPr="003674FB">
        <w:rPr>
          <w:rFonts w:eastAsiaTheme="minorEastAsia"/>
          <w:color w:val="000000" w:themeColor="text1"/>
          <w:sz w:val="22"/>
          <w:szCs w:val="22"/>
        </w:rPr>
        <w:t xml:space="preserve"> </w:t>
      </w:r>
      <m:oMath>
        <m:r>
          <w:rPr>
            <w:rFonts w:ascii="Cambria Math" w:eastAsiaTheme="minorEastAsia" w:hAnsi="Cambria Math"/>
            <w:color w:val="000000" w:themeColor="text1"/>
            <w:sz w:val="22"/>
            <w:szCs w:val="22"/>
            <w:shd w:val="clear" w:color="auto" w:fill="FFFFFF"/>
          </w:rPr>
          <m:t>≥</m:t>
        </m:r>
      </m:oMath>
      <w:r w:rsidRPr="003674FB">
        <w:rPr>
          <w:rFonts w:eastAsiaTheme="minorEastAsia"/>
          <w:color w:val="000000" w:themeColor="text1"/>
          <w:sz w:val="22"/>
          <w:szCs w:val="22"/>
          <w:shd w:val="clear" w:color="auto" w:fill="FFFFFF"/>
        </w:rPr>
        <w:t xml:space="preserve"> 0</w:t>
      </w:r>
    </w:p>
    <w:p w14:paraId="5508E4C5" w14:textId="77777777" w:rsidR="00BF3069" w:rsidRDefault="00BF3069" w:rsidP="00BF3069">
      <w:pPr>
        <w:spacing w:line="360" w:lineRule="auto"/>
        <w:rPr>
          <w:rFonts w:eastAsiaTheme="minorEastAsia"/>
          <w:color w:val="000000" w:themeColor="text1"/>
          <w:sz w:val="22"/>
          <w:szCs w:val="22"/>
          <w:shd w:val="clear" w:color="auto" w:fill="FFFFFF"/>
        </w:rPr>
      </w:pPr>
    </w:p>
    <w:p w14:paraId="513D3C52" w14:textId="15A3DA5E" w:rsidR="00BF3069" w:rsidRPr="00C75882" w:rsidRDefault="00BF3069" w:rsidP="00BF3069">
      <w:pPr>
        <w:spacing w:line="360" w:lineRule="auto"/>
        <w:rPr>
          <w:rFonts w:eastAsiaTheme="minorEastAsia"/>
          <w:color w:val="000000" w:themeColor="text1"/>
          <w:shd w:val="clear" w:color="auto" w:fill="FFFFFF"/>
        </w:rPr>
      </w:pPr>
      <w:r>
        <w:rPr>
          <w:rFonts w:eastAsiaTheme="minorEastAsia"/>
          <w:b/>
          <w:bCs/>
          <w:i/>
          <w:iCs/>
          <w:shd w:val="clear" w:color="auto" w:fill="FFFFFF"/>
        </w:rPr>
        <w:t xml:space="preserve">Proof 5: </w:t>
      </w:r>
      <w:r w:rsidRPr="003674FB">
        <w:rPr>
          <w:rFonts w:eastAsiaTheme="minorEastAsia"/>
          <w:b/>
          <w:bCs/>
          <w:i/>
          <w:iCs/>
          <w:shd w:val="clear" w:color="auto" w:fill="FFFFFF"/>
        </w:rPr>
        <w:t xml:space="preserve"> </w:t>
      </w:r>
      <w:r w:rsidRPr="00F57800">
        <w:rPr>
          <w:rFonts w:eastAsiaTheme="minorEastAsia"/>
          <w:bCs/>
          <w:iCs/>
          <w:shd w:val="clear" w:color="auto" w:fill="FFFFFF"/>
        </w:rPr>
        <w:t xml:space="preserve">If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D7673B">
        <w:rPr>
          <w:rFonts w:eastAsiaTheme="minorEastAsia"/>
          <w:color w:val="000000" w:themeColor="text1"/>
        </w:rPr>
        <w:t xml:space="preserve"> </w:t>
      </w:r>
      <m:oMath>
        <m:r>
          <w:rPr>
            <w:rFonts w:ascii="Cambria Math" w:eastAsiaTheme="minorEastAsia" w:hAnsi="Cambria Math"/>
            <w:shd w:val="clear" w:color="auto" w:fill="FFFFFF"/>
          </w:rPr>
          <m:t>≤</m:t>
        </m:r>
      </m:oMath>
      <w:r w:rsidRPr="00D7673B">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C2,t</m:t>
                </m:r>
              </m:sub>
            </m:sSub>
            <m:r>
              <w:rPr>
                <w:rFonts w:ascii="Cambria Math" w:eastAsiaTheme="minorEastAsia" w:hAnsi="Cambria Math"/>
                <w:color w:val="000000" w:themeColor="text1"/>
              </w:rPr>
              <m:t>|</m:t>
            </m:r>
          </m:den>
        </m:f>
      </m:oMath>
      <w:r>
        <w:rPr>
          <w:rFonts w:eastAsiaTheme="minorEastAsia"/>
          <w:color w:val="000000" w:themeColor="text1"/>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m:rPr>
            <m:sty m:val="p"/>
          </m:rPr>
          <w:rPr>
            <w:rFonts w:ascii="Cambria Math" w:eastAsiaTheme="minorEastAsia" w:hAnsi="Cambria Math"/>
            <w:vertAlign w:val="subscript"/>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L2,t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C2,t</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C2,t</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C1,t</m:t>
                </m:r>
              </m:sub>
            </m:sSub>
            <m:r>
              <w:rPr>
                <w:rFonts w:ascii="Cambria Math" w:eastAsiaTheme="minorEastAsia" w:hAnsi="Cambria Math"/>
                <w:color w:val="000000" w:themeColor="text1"/>
              </w:rPr>
              <m:t>)|</m:t>
            </m:r>
          </m:den>
        </m:f>
      </m:oMath>
      <w:r>
        <w:rPr>
          <w:rFonts w:eastAsiaTheme="minorEastAsia"/>
          <w:color w:val="000000" w:themeColor="text1"/>
        </w:rPr>
        <w:t xml:space="preserve"> </w:t>
      </w:r>
      <w:r w:rsidRPr="00F57800">
        <w:rPr>
          <w:rFonts w:eastAsiaTheme="minorEastAsia"/>
          <w:color w:val="000000" w:themeColor="text1"/>
        </w:rPr>
        <w:t xml:space="preserve">then </w:t>
      </w:r>
      <m:oMath>
        <m:r>
          <w:rPr>
            <w:rFonts w:ascii="Cambria Math" w:eastAsiaTheme="minorEastAsia" w:hAnsi="Cambria Math"/>
            <w:color w:val="000000" w:themeColor="text1"/>
          </w:rPr>
          <m:t>∆</m:t>
        </m:r>
      </m:oMath>
      <w:r w:rsidRPr="00F57800">
        <w:rPr>
          <w:color w:val="000000" w:themeColor="text1"/>
        </w:rPr>
        <w:t>X</w:t>
      </w:r>
      <w:r w:rsidRPr="00F57800">
        <w:rPr>
          <w:color w:val="000000" w:themeColor="text1"/>
          <w:vertAlign w:val="subscript"/>
        </w:rPr>
        <w:t xml:space="preserve">L2,t </w:t>
      </w:r>
      <w:r w:rsidRPr="00F57800">
        <w:rPr>
          <w:color w:val="000000" w:themeColor="text1"/>
        </w:rPr>
        <w:t xml:space="preserve">+ </w:t>
      </w:r>
      <w:r w:rsidRPr="00F57800">
        <w:rPr>
          <w:rFonts w:eastAsiaTheme="minorEastAsia"/>
        </w:rPr>
        <w:t>r</w:t>
      </w:r>
      <w:r w:rsidRPr="00F57800">
        <w:rPr>
          <w:rFonts w:eastAsiaTheme="minorEastAsia"/>
          <w:vertAlign w:val="subscript"/>
        </w:rPr>
        <w:t>s</w:t>
      </w:r>
      <m:oMath>
        <m:r>
          <w:rPr>
            <w:rFonts w:ascii="Cambria Math" w:eastAsiaTheme="minorEastAsia" w:hAnsi="Cambria Math"/>
          </w:rPr>
          <m:t>(</m:t>
        </m:r>
        <m:r>
          <w:rPr>
            <w:rFonts w:ascii="Cambria Math" w:eastAsiaTheme="minorEastAsia" w:hAnsi="Cambria Math"/>
            <w:color w:val="000000" w:themeColor="text1"/>
          </w:rPr>
          <m:t>∆</m:t>
        </m:r>
      </m:oMath>
      <w:r w:rsidRPr="00F57800">
        <w:rPr>
          <w:rFonts w:eastAsiaTheme="minorEastAsia"/>
        </w:rPr>
        <w:t>D</w:t>
      </w:r>
      <w:r w:rsidRPr="00F57800">
        <w:rPr>
          <w:rFonts w:eastAsiaTheme="minorEastAsia"/>
          <w:vertAlign w:val="subscript"/>
        </w:rPr>
        <w:t xml:space="preserve">C2,t - </w:t>
      </w:r>
      <m:oMath>
        <m:r>
          <w:rPr>
            <w:rFonts w:ascii="Cambria Math" w:eastAsiaTheme="minorEastAsia" w:hAnsi="Cambria Math"/>
            <w:color w:val="000000" w:themeColor="text1"/>
          </w:rPr>
          <m:t>∆</m:t>
        </m:r>
      </m:oMath>
      <w:r w:rsidRPr="00F57800">
        <w:rPr>
          <w:rFonts w:eastAsiaTheme="minorEastAsia"/>
        </w:rPr>
        <w:t>D</w:t>
      </w:r>
      <w:r w:rsidRPr="00F57800">
        <w:rPr>
          <w:rFonts w:eastAsiaTheme="minorEastAsia"/>
          <w:vertAlign w:val="subscript"/>
        </w:rPr>
        <w:t>C1,t</w:t>
      </w:r>
      <w:r w:rsidRPr="00F57800">
        <w:rPr>
          <w:rFonts w:eastAsiaTheme="minorEastAsia"/>
        </w:rPr>
        <w:t xml:space="preserve">) + </w:t>
      </w:r>
      <m:oMath>
        <m:r>
          <m:rPr>
            <m:sty m:val="p"/>
          </m:rPr>
          <w:rPr>
            <w:rFonts w:ascii="Cambria Math" w:eastAsiaTheme="minorEastAsia" w:hAnsi="Cambria Math"/>
            <w:color w:val="000000" w:themeColor="text1"/>
          </w:rPr>
          <m:t>ε(∆</m:t>
        </m:r>
      </m:oMath>
      <w:r w:rsidRPr="00F57800">
        <w:rPr>
          <w:rFonts w:eastAsiaTheme="minorEastAsia"/>
          <w:color w:val="000000" w:themeColor="text1"/>
        </w:rPr>
        <w:t>D</w:t>
      </w:r>
      <w:r w:rsidRPr="00F57800">
        <w:rPr>
          <w:rFonts w:eastAsiaTheme="minorEastAsia"/>
          <w:color w:val="000000" w:themeColor="text1"/>
          <w:vertAlign w:val="subscript"/>
        </w:rPr>
        <w:t>C2,t</w:t>
      </w:r>
      <w:r w:rsidRPr="00F57800">
        <w:rPr>
          <w:rFonts w:eastAsiaTheme="minorEastAsia"/>
          <w:color w:val="000000" w:themeColor="text1"/>
        </w:rPr>
        <w:t>)</w:t>
      </w:r>
      <w:r w:rsidRPr="00F57800">
        <w:rPr>
          <w:rFonts w:eastAsiaTheme="minorEastAsia"/>
        </w:rPr>
        <w:t xml:space="preserve"> </w:t>
      </w:r>
      <m:oMath>
        <m:r>
          <w:rPr>
            <w:rFonts w:ascii="Cambria Math" w:eastAsiaTheme="minorEastAsia" w:hAnsi="Cambria Math"/>
            <w:color w:val="000000" w:themeColor="text1"/>
            <w:shd w:val="clear" w:color="auto" w:fill="FFFFFF"/>
          </w:rPr>
          <m:t>≥</m:t>
        </m:r>
      </m:oMath>
      <w:r w:rsidRPr="00F57800">
        <w:rPr>
          <w:rFonts w:eastAsiaTheme="minorEastAsia"/>
          <w:color w:val="000000" w:themeColor="text1"/>
          <w:shd w:val="clear" w:color="auto" w:fill="FFFFFF"/>
        </w:rPr>
        <w:t xml:space="preserve"> 0 and thus </w:t>
      </w:r>
      <m:oMath>
        <m:r>
          <w:rPr>
            <w:rFonts w:ascii="Cambria Math" w:eastAsiaTheme="minorEastAsia" w:hAnsi="Cambria Math"/>
          </w:rPr>
          <m:t>∆</m:t>
        </m:r>
      </m:oMath>
      <w:r w:rsidRPr="00F57800">
        <w:rPr>
          <w:rFonts w:eastAsiaTheme="minorEastAsia"/>
          <w:shd w:val="clear" w:color="auto" w:fill="FFFFFF"/>
        </w:rPr>
        <w:t>U</w:t>
      </w:r>
      <w:r w:rsidRPr="00F57800">
        <w:rPr>
          <w:rFonts w:eastAsiaTheme="minorEastAsia"/>
          <w:vertAlign w:val="subscript"/>
        </w:rPr>
        <w:t xml:space="preserve">L2,t  </w:t>
      </w:r>
      <m:oMath>
        <m:r>
          <w:rPr>
            <w:rFonts w:ascii="Cambria Math" w:eastAsiaTheme="minorEastAsia" w:hAnsi="Cambria Math"/>
            <w:shd w:val="clear" w:color="auto" w:fill="FFFFFF"/>
          </w:rPr>
          <m:t>≥</m:t>
        </m:r>
      </m:oMath>
      <w:r w:rsidRPr="00F57800">
        <w:rPr>
          <w:rFonts w:eastAsiaTheme="minorEastAsia"/>
          <w:shd w:val="clear" w:color="auto" w:fill="FFFFFF"/>
        </w:rPr>
        <w:t xml:space="preserve"> 0. A rational L</w:t>
      </w:r>
      <w:r w:rsidRPr="00F57800">
        <w:rPr>
          <w:rFonts w:eastAsiaTheme="minorEastAsia"/>
          <w:shd w:val="clear" w:color="auto" w:fill="FFFFFF"/>
          <w:vertAlign w:val="subscript"/>
        </w:rPr>
        <w:t>2</w:t>
      </w:r>
      <w:r w:rsidRPr="00F57800">
        <w:rPr>
          <w:rFonts w:eastAsiaTheme="minorEastAsia"/>
          <w:shd w:val="clear" w:color="auto" w:fill="FFFFFF"/>
        </w:rPr>
        <w:t xml:space="preserve">’s best response </w:t>
      </w:r>
      <w:r>
        <w:rPr>
          <w:rFonts w:eastAsiaTheme="minorEastAsia"/>
          <w:shd w:val="clear" w:color="auto" w:fill="FFFFFF"/>
        </w:rPr>
        <w:t xml:space="preserve">during the settlement-phase is </w:t>
      </w:r>
      <w:r w:rsidRPr="0031708F">
        <w:rPr>
          <w:rFonts w:eastAsiaTheme="minorEastAsia"/>
          <w:shd w:val="clear" w:color="auto" w:fill="FFFFFF"/>
        </w:rPr>
        <w:t xml:space="preserve">to pass. If 0 </w:t>
      </w:r>
      <m:oMath>
        <m:r>
          <w:rPr>
            <w:rFonts w:ascii="Cambria Math" w:eastAsiaTheme="minorEastAsia" w:hAnsi="Cambria Math"/>
            <w:shd w:val="clear" w:color="auto" w:fill="FFFFFF"/>
          </w:rPr>
          <m:t>≤</m:t>
        </m:r>
      </m:oMath>
      <w:r w:rsidRPr="0031708F">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Pr="0031708F">
        <w:rPr>
          <w:rFonts w:eastAsiaTheme="minorEastAsia"/>
          <w:color w:val="000000" w:themeColor="text1"/>
        </w:rPr>
        <w:t xml:space="preserve"> </w:t>
      </w:r>
      <m:oMath>
        <m:r>
          <w:rPr>
            <w:rFonts w:ascii="Cambria Math" w:eastAsiaTheme="minorEastAsia" w:hAnsi="Cambria Math"/>
            <w:shd w:val="clear" w:color="auto" w:fill="FFFFFF"/>
          </w:rPr>
          <m:t>≤</m:t>
        </m:r>
      </m:oMath>
      <w:r w:rsidRPr="0031708F">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r>
          <m:rPr>
            <m:sty m:val="p"/>
          </m:rPr>
          <w:rPr>
            <w:rFonts w:ascii="Cambria Math" w:eastAsiaTheme="minorEastAsia" w:hAnsi="Cambria Math"/>
            <w:color w:val="000000" w:themeColor="text1"/>
          </w:rPr>
          <m:t xml:space="preserve"> </m:t>
        </m:r>
        <m:r>
          <m:rPr>
            <m:sty m:val="p"/>
          </m:rPr>
          <w:rPr>
            <w:rFonts w:ascii="Cambria Math" w:eastAsiaTheme="minorEastAsia"/>
            <w:color w:val="000000" w:themeColor="text1"/>
          </w:rPr>
          <m:t xml:space="preserve"> </m:t>
        </m:r>
      </m:oMath>
      <w:r w:rsidRPr="0031708F">
        <w:rPr>
          <w:rFonts w:eastAsiaTheme="minorEastAsia"/>
          <w:color w:val="000000" w:themeColor="text1"/>
        </w:rPr>
        <w:t xml:space="preserve">and </w:t>
      </w:r>
      <w:r w:rsidRPr="0031708F">
        <w:rPr>
          <w:rFonts w:eastAsiaTheme="minorEastAsia"/>
        </w:rPr>
        <w:t>r</w:t>
      </w:r>
      <w:r w:rsidRPr="0031708F">
        <w:rPr>
          <w:rFonts w:eastAsiaTheme="minorEastAsia"/>
          <w:vertAlign w:val="subscript"/>
        </w:rPr>
        <w:t xml:space="preserve">T </w:t>
      </w:r>
      <m:oMath>
        <m:r>
          <m:rPr>
            <m:sty m:val="p"/>
          </m:rPr>
          <w:rPr>
            <w:rFonts w:ascii="Cambria Math" w:eastAsiaTheme="minorEastAsia" w:hAnsi="Cambria Math"/>
            <w:vertAlign w:val="subscript"/>
          </w:rPr>
          <m:t>≤</m:t>
        </m:r>
        <m:r>
          <m:rPr>
            <m:sty m:val="p"/>
          </m:rPr>
          <w:rPr>
            <w:rFonts w:ascii="Cambria Math" w:eastAsiaTheme="minorEastAsia" w:hAnsi="Cambria Math"/>
          </w:rPr>
          <m:t xml:space="preserve"> </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vertAlign w:val="subscript"/>
              </w:rPr>
              <m:t xml:space="preserve"> </m:t>
            </m:r>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sidRPr="0031708F">
        <w:rPr>
          <w:rFonts w:eastAsiaTheme="minorEastAsia"/>
          <w:color w:val="000000" w:themeColor="text1"/>
        </w:rPr>
        <w:t xml:space="preserve"> </w:t>
      </w:r>
      <w:r>
        <w:rPr>
          <w:rFonts w:eastAsiaTheme="minorEastAsia"/>
        </w:rPr>
        <w:t>then</w:t>
      </w:r>
      <w:r w:rsidRPr="0031708F">
        <w:rPr>
          <w:rFonts w:eastAsiaTheme="minorEastAsia"/>
          <w:color w:val="000000" w:themeColor="text1"/>
        </w:rPr>
        <w:t xml:space="preserve"> </w:t>
      </w:r>
      <m:oMath>
        <m:r>
          <w:rPr>
            <w:rFonts w:ascii="Cambria Math" w:eastAsiaTheme="minorEastAsia" w:hAnsi="Cambria Math"/>
            <w:color w:val="000000" w:themeColor="text1"/>
          </w:rPr>
          <m:t>∆</m:t>
        </m:r>
      </m:oMath>
      <w:r w:rsidRPr="0031708F">
        <w:rPr>
          <w:color w:val="000000" w:themeColor="text1"/>
        </w:rPr>
        <w:t>X</w:t>
      </w:r>
      <w:r w:rsidRPr="0031708F">
        <w:rPr>
          <w:color w:val="000000" w:themeColor="text1"/>
          <w:vertAlign w:val="subscript"/>
        </w:rPr>
        <w:t xml:space="preserve">L2,8 </w:t>
      </w:r>
      <w:r w:rsidRPr="0031708F">
        <w:rPr>
          <w:color w:val="000000" w:themeColor="text1"/>
        </w:rPr>
        <w:t xml:space="preserve">+ </w:t>
      </w:r>
      <w:r w:rsidRPr="0031708F">
        <w:rPr>
          <w:rFonts w:eastAsiaTheme="minorEastAsia"/>
        </w:rPr>
        <w:t>r</w:t>
      </w:r>
      <w:r w:rsidRPr="0031708F">
        <w:rPr>
          <w:rFonts w:eastAsiaTheme="minorEastAsia"/>
          <w:vertAlign w:val="subscript"/>
        </w:rPr>
        <w:t>T</w:t>
      </w:r>
      <m:oMath>
        <m:r>
          <w:rPr>
            <w:rFonts w:ascii="Cambria Math" w:eastAsiaTheme="minorEastAsia" w:hAnsi="Cambria Math"/>
          </w:rPr>
          <m:t>(</m:t>
        </m:r>
        <m:r>
          <w:rPr>
            <w:rFonts w:ascii="Cambria Math" w:eastAsiaTheme="minorEastAsia" w:hAnsi="Cambria Math"/>
            <w:color w:val="000000" w:themeColor="text1"/>
          </w:rPr>
          <m:t>∆</m:t>
        </m:r>
      </m:oMath>
      <w:r w:rsidRPr="0031708F">
        <w:rPr>
          <w:rFonts w:eastAsiaTheme="minorEastAsia"/>
        </w:rPr>
        <w:t>D</w:t>
      </w:r>
      <w:r w:rsidRPr="0031708F">
        <w:rPr>
          <w:rFonts w:eastAsiaTheme="minorEastAsia"/>
          <w:vertAlign w:val="subscript"/>
        </w:rPr>
        <w:t xml:space="preserve">C2,8 </w:t>
      </w:r>
      <w:r w:rsidRPr="0031708F">
        <w:rPr>
          <w:rFonts w:eastAsiaTheme="minorEastAsia"/>
        </w:rPr>
        <w:t>-</w:t>
      </w:r>
      <w:r w:rsidRPr="0031708F">
        <w:rPr>
          <w:rFonts w:eastAsiaTheme="minorEastAsia"/>
          <w:vertAlign w:val="subscript"/>
        </w:rPr>
        <w:t xml:space="preserve"> </w:t>
      </w:r>
      <m:oMath>
        <m:r>
          <w:rPr>
            <w:rFonts w:ascii="Cambria Math" w:eastAsiaTheme="minorEastAsia" w:hAnsi="Cambria Math"/>
            <w:color w:val="000000" w:themeColor="text1"/>
          </w:rPr>
          <m:t>∆</m:t>
        </m:r>
      </m:oMath>
      <w:r w:rsidRPr="0031708F">
        <w:rPr>
          <w:rFonts w:eastAsiaTheme="minorEastAsia"/>
        </w:rPr>
        <w:t>D</w:t>
      </w:r>
      <w:r w:rsidRPr="0031708F">
        <w:rPr>
          <w:rFonts w:eastAsiaTheme="minorEastAsia"/>
          <w:vertAlign w:val="subscript"/>
        </w:rPr>
        <w:t>C1,8</w:t>
      </w:r>
      <w:r w:rsidRPr="0031708F">
        <w:rPr>
          <w:rFonts w:eastAsiaTheme="minorEastAsia"/>
        </w:rPr>
        <w:t xml:space="preserve">) + </w:t>
      </w:r>
      <m:oMath>
        <m:r>
          <m:rPr>
            <m:sty m:val="p"/>
          </m:rPr>
          <w:rPr>
            <w:rFonts w:ascii="Cambria Math" w:eastAsiaTheme="minorEastAsia" w:hAnsi="Cambria Math"/>
            <w:color w:val="000000" w:themeColor="text1"/>
          </w:rPr>
          <m:t>ε(∆</m:t>
        </m:r>
      </m:oMath>
      <w:r w:rsidRPr="0031708F">
        <w:rPr>
          <w:rFonts w:eastAsiaTheme="minorEastAsia"/>
          <w:color w:val="000000" w:themeColor="text1"/>
        </w:rPr>
        <w:t>D</w:t>
      </w:r>
      <w:r w:rsidRPr="0031708F">
        <w:rPr>
          <w:rFonts w:eastAsiaTheme="minorEastAsia"/>
          <w:color w:val="000000" w:themeColor="text1"/>
          <w:vertAlign w:val="subscript"/>
        </w:rPr>
        <w:t>C2,8</w:t>
      </w:r>
      <w:r w:rsidRPr="0031708F">
        <w:rPr>
          <w:rFonts w:eastAsiaTheme="minorEastAsia"/>
          <w:color w:val="000000" w:themeColor="text1"/>
        </w:rPr>
        <w:t>)</w:t>
      </w:r>
      <w:r w:rsidRPr="0031708F">
        <w:rPr>
          <w:rFonts w:eastAsiaTheme="minorEastAsia"/>
        </w:rPr>
        <w:t xml:space="preserve"> </w:t>
      </w:r>
      <m:oMath>
        <m:r>
          <w:rPr>
            <w:rFonts w:ascii="Cambria Math" w:eastAsiaTheme="minorEastAsia" w:hAnsi="Cambria Math"/>
            <w:shd w:val="clear" w:color="auto" w:fill="FFFFFF"/>
          </w:rPr>
          <m:t>≥</m:t>
        </m:r>
        <m:r>
          <m:rPr>
            <m:sty m:val="p"/>
          </m:rPr>
          <w:rPr>
            <w:rFonts w:ascii="Cambria Math" w:eastAsiaTheme="minorEastAsia" w:hAnsi="Cambria Math"/>
            <w:shd w:val="clear" w:color="auto" w:fill="FFFFFF"/>
          </w:rPr>
          <m:t xml:space="preserve"> </m:t>
        </m:r>
      </m:oMath>
      <w:r w:rsidRPr="0031708F">
        <w:rPr>
          <w:rFonts w:eastAsiaTheme="minorEastAsia"/>
          <w:color w:val="000000" w:themeColor="text1"/>
          <w:shd w:val="clear" w:color="auto" w:fill="FFFFFF"/>
        </w:rPr>
        <w:t xml:space="preserve">0 </w:t>
      </w:r>
      <w:r>
        <w:rPr>
          <w:rFonts w:eastAsiaTheme="minorEastAsia"/>
          <w:color w:val="000000" w:themeColor="text1"/>
          <w:shd w:val="clear" w:color="auto" w:fill="FFFFFF"/>
        </w:rPr>
        <w:t xml:space="preserve">and the rational L </w:t>
      </w:r>
      <w:r w:rsidRPr="0031708F">
        <w:rPr>
          <w:rFonts w:eastAsiaTheme="minorEastAsia"/>
          <w:shd w:val="clear" w:color="auto" w:fill="FFFFFF"/>
        </w:rPr>
        <w:t>L</w:t>
      </w:r>
      <w:r w:rsidRPr="0031708F">
        <w:rPr>
          <w:rFonts w:eastAsiaTheme="minorEastAsia"/>
          <w:shd w:val="clear" w:color="auto" w:fill="FFFFFF"/>
          <w:vertAlign w:val="subscript"/>
        </w:rPr>
        <w:t>2</w:t>
      </w:r>
      <w:r w:rsidRPr="0031708F">
        <w:rPr>
          <w:rFonts w:eastAsiaTheme="minorEastAsia"/>
          <w:shd w:val="clear" w:color="auto" w:fill="FFFFFF"/>
        </w:rPr>
        <w:t>’s best response is to pass at t=7 and pursue a trial</w:t>
      </w:r>
      <w:r>
        <w:rPr>
          <w:rFonts w:eastAsiaTheme="minorEastAsia"/>
          <w:shd w:val="clear" w:color="auto" w:fill="FFFFFF"/>
        </w:rPr>
        <w:t xml:space="preserve"> so long as </w:t>
      </w:r>
      <w:r w:rsidRPr="0031708F">
        <w:rPr>
          <w:rFonts w:eastAsiaTheme="minorEastAsia"/>
          <w:shd w:val="clear" w:color="auto" w:fill="FFFFFF"/>
        </w:rPr>
        <w:t>L</w:t>
      </w:r>
      <w:r w:rsidRPr="0031708F">
        <w:rPr>
          <w:rFonts w:eastAsiaTheme="minorEastAsia"/>
          <w:shd w:val="clear" w:color="auto" w:fill="FFFFFF"/>
          <w:vertAlign w:val="subscript"/>
        </w:rPr>
        <w:t>2</w:t>
      </w:r>
      <w:r>
        <w:rPr>
          <w:rFonts w:eastAsiaTheme="minorEastAsia"/>
          <w:shd w:val="clear" w:color="auto" w:fill="FFFFFF"/>
          <w:vertAlign w:val="subscript"/>
        </w:rPr>
        <w:t xml:space="preserve"> </w:t>
      </w:r>
      <w:r>
        <w:rPr>
          <w:rFonts w:eastAsiaTheme="minorEastAsia"/>
          <w:color w:val="000000" w:themeColor="text1"/>
          <w:shd w:val="clear" w:color="auto" w:fill="FFFFFF"/>
        </w:rPr>
        <w:t xml:space="preserve">invests </w:t>
      </w:r>
      <w:r w:rsidRPr="004C7FE3">
        <w:t>E</w:t>
      </w:r>
      <w:r w:rsidRPr="004C7FE3">
        <w:rPr>
          <w:vertAlign w:val="subscript"/>
        </w:rPr>
        <w:t>2</w:t>
      </w:r>
      <w:r>
        <w:rPr>
          <w:vertAlign w:val="subscript"/>
        </w:rPr>
        <w:t xml:space="preserve"> </w:t>
      </w:r>
      <w:r>
        <w:t xml:space="preserve">in costly effort that adheres to </w:t>
      </w:r>
      <m:oMath>
        <m:r>
          <w:rPr>
            <w:rFonts w:ascii="Cambria Math" w:eastAsiaTheme="minorEastAsia" w:hAnsi="Cambria Math"/>
            <w:color w:val="000000" w:themeColor="text1"/>
          </w:rPr>
          <m:t>∆</m:t>
        </m:r>
      </m:oMath>
      <w:r w:rsidRPr="0031708F">
        <w:rPr>
          <w:color w:val="000000" w:themeColor="text1"/>
        </w:rPr>
        <w:t>X</w:t>
      </w:r>
      <w:r w:rsidRPr="0031708F">
        <w:rPr>
          <w:color w:val="000000" w:themeColor="text1"/>
          <w:vertAlign w:val="subscript"/>
        </w:rPr>
        <w:t xml:space="preserve">L2,8 </w:t>
      </w:r>
      <w:r w:rsidRPr="0031708F">
        <w:rPr>
          <w:color w:val="000000" w:themeColor="text1"/>
        </w:rPr>
        <w:t xml:space="preserve">+ </w:t>
      </w:r>
      <w:r w:rsidRPr="0031708F">
        <w:rPr>
          <w:rFonts w:eastAsiaTheme="minorEastAsia"/>
        </w:rPr>
        <w:t>r</w:t>
      </w:r>
      <w:r w:rsidRPr="0031708F">
        <w:rPr>
          <w:rFonts w:eastAsiaTheme="minorEastAsia"/>
          <w:vertAlign w:val="subscript"/>
        </w:rPr>
        <w:t>T</w:t>
      </w:r>
      <m:oMath>
        <m:r>
          <w:rPr>
            <w:rFonts w:ascii="Cambria Math" w:eastAsiaTheme="minorEastAsia" w:hAnsi="Cambria Math"/>
          </w:rPr>
          <m:t>(</m:t>
        </m:r>
        <m:r>
          <w:rPr>
            <w:rFonts w:ascii="Cambria Math" w:eastAsiaTheme="minorEastAsia" w:hAnsi="Cambria Math"/>
            <w:color w:val="000000" w:themeColor="text1"/>
          </w:rPr>
          <m:t>∆</m:t>
        </m:r>
      </m:oMath>
      <w:r w:rsidRPr="0031708F">
        <w:rPr>
          <w:rFonts w:eastAsiaTheme="minorEastAsia"/>
        </w:rPr>
        <w:t>D</w:t>
      </w:r>
      <w:r w:rsidRPr="0031708F">
        <w:rPr>
          <w:rFonts w:eastAsiaTheme="minorEastAsia"/>
          <w:vertAlign w:val="subscript"/>
        </w:rPr>
        <w:t xml:space="preserve">C2,8 </w:t>
      </w:r>
      <w:r w:rsidRPr="0031708F">
        <w:rPr>
          <w:rFonts w:eastAsiaTheme="minorEastAsia"/>
        </w:rPr>
        <w:t>-</w:t>
      </w:r>
      <w:r w:rsidRPr="0031708F">
        <w:rPr>
          <w:rFonts w:eastAsiaTheme="minorEastAsia"/>
          <w:vertAlign w:val="subscript"/>
        </w:rPr>
        <w:t xml:space="preserve"> </w:t>
      </w:r>
      <m:oMath>
        <m:r>
          <w:rPr>
            <w:rFonts w:ascii="Cambria Math" w:eastAsiaTheme="minorEastAsia" w:hAnsi="Cambria Math"/>
            <w:color w:val="000000" w:themeColor="text1"/>
          </w:rPr>
          <m:t>∆</m:t>
        </m:r>
      </m:oMath>
      <w:r w:rsidRPr="0031708F">
        <w:rPr>
          <w:rFonts w:eastAsiaTheme="minorEastAsia"/>
        </w:rPr>
        <w:t>D</w:t>
      </w:r>
      <w:r w:rsidRPr="0031708F">
        <w:rPr>
          <w:rFonts w:eastAsiaTheme="minorEastAsia"/>
          <w:vertAlign w:val="subscript"/>
        </w:rPr>
        <w:t>C1,8</w:t>
      </w:r>
      <w:r w:rsidRPr="0031708F">
        <w:rPr>
          <w:rFonts w:eastAsiaTheme="minorEastAsia"/>
        </w:rPr>
        <w:t xml:space="preserve">) + </w:t>
      </w:r>
      <m:oMath>
        <m:r>
          <m:rPr>
            <m:sty m:val="p"/>
          </m:rPr>
          <w:rPr>
            <w:rFonts w:ascii="Cambria Math" w:eastAsiaTheme="minorEastAsia" w:hAnsi="Cambria Math"/>
            <w:color w:val="000000" w:themeColor="text1"/>
          </w:rPr>
          <m:t>ε(∆</m:t>
        </m:r>
      </m:oMath>
      <w:r w:rsidRPr="0031708F">
        <w:rPr>
          <w:rFonts w:eastAsiaTheme="minorEastAsia"/>
          <w:color w:val="000000" w:themeColor="text1"/>
        </w:rPr>
        <w:t>D</w:t>
      </w:r>
      <w:r w:rsidRPr="0031708F">
        <w:rPr>
          <w:rFonts w:eastAsiaTheme="minorEastAsia"/>
          <w:color w:val="000000" w:themeColor="text1"/>
          <w:vertAlign w:val="subscript"/>
        </w:rPr>
        <w:t>C2,8</w:t>
      </w:r>
      <w:r w:rsidRPr="0031708F">
        <w:rPr>
          <w:rFonts w:eastAsiaTheme="minorEastAsia"/>
          <w:color w:val="000000" w:themeColor="text1"/>
        </w:rPr>
        <w:t>)</w:t>
      </w:r>
      <w:r>
        <w:rPr>
          <w:rFonts w:eastAsiaTheme="minorEastAsia"/>
          <w:color w:val="000000" w:themeColor="text1"/>
        </w:rPr>
        <w:t xml:space="preserve"> </w:t>
      </w:r>
      <m:oMath>
        <m:r>
          <w:rPr>
            <w:rFonts w:ascii="Cambria Math" w:eastAsiaTheme="minorEastAsia" w:hAnsi="Cambria Math"/>
            <w:shd w:val="clear" w:color="auto" w:fill="FFFFFF"/>
          </w:rPr>
          <m:t>≥</m:t>
        </m:r>
      </m:oMath>
      <w:r>
        <w:rPr>
          <w:rFonts w:eastAsiaTheme="minorEastAsia"/>
          <w:shd w:val="clear" w:color="auto" w:fill="FFFFFF"/>
        </w:rPr>
        <w:t xml:space="preserve"> </w:t>
      </w:r>
      <w:r w:rsidRPr="004C7FE3">
        <w:t>E</w:t>
      </w:r>
      <w:r w:rsidRPr="004C7FE3">
        <w:rPr>
          <w:vertAlign w:val="subscript"/>
        </w:rPr>
        <w:t>2</w:t>
      </w:r>
      <w:r>
        <w:rPr>
          <w:vertAlign w:val="subscript"/>
        </w:rPr>
        <w:t xml:space="preserve">. </w:t>
      </w:r>
      <w:r>
        <w:t xml:space="preserve">If this is the case, </w:t>
      </w:r>
      <m:oMath>
        <m:r>
          <w:rPr>
            <w:rFonts w:ascii="Cambria Math" w:eastAsiaTheme="minorEastAsia" w:hAnsi="Cambria Math"/>
          </w:rPr>
          <m:t>∆</m:t>
        </m:r>
      </m:oMath>
      <w:r w:rsidRPr="0031708F">
        <w:rPr>
          <w:rFonts w:eastAsiaTheme="minorEastAsia"/>
          <w:shd w:val="clear" w:color="auto" w:fill="FFFFFF"/>
        </w:rPr>
        <w:t>U</w:t>
      </w:r>
      <w:r w:rsidRPr="0031708F">
        <w:rPr>
          <w:rFonts w:eastAsiaTheme="minorEastAsia"/>
          <w:vertAlign w:val="subscript"/>
        </w:rPr>
        <w:t xml:space="preserve">L2,8 </w:t>
      </w:r>
      <m:oMath>
        <m:r>
          <w:rPr>
            <w:rFonts w:ascii="Cambria Math" w:eastAsiaTheme="minorEastAsia" w:hAnsi="Cambria Math"/>
            <w:shd w:val="clear" w:color="auto" w:fill="FFFFFF"/>
          </w:rPr>
          <m:t>≥</m:t>
        </m:r>
        <m:r>
          <m:rPr>
            <m:sty m:val="p"/>
          </m:rPr>
          <w:rPr>
            <w:rFonts w:ascii="Cambria Math" w:eastAsiaTheme="minorEastAsia" w:hAnsi="Cambria Math"/>
            <w:shd w:val="clear" w:color="auto" w:fill="FFFFFF"/>
          </w:rPr>
          <m:t xml:space="preserve"> </m:t>
        </m:r>
      </m:oMath>
      <w:r w:rsidRPr="0031708F">
        <w:rPr>
          <w:rFonts w:eastAsiaTheme="minorEastAsia"/>
          <w:shd w:val="clear" w:color="auto" w:fill="FFFFFF"/>
        </w:rPr>
        <w:t>0</w:t>
      </w:r>
      <w:r>
        <w:rPr>
          <w:rFonts w:eastAsiaTheme="minorEastAsia"/>
          <w:shd w:val="clear" w:color="auto" w:fill="FFFFFF"/>
        </w:rPr>
        <w:t xml:space="preserve">. However, If </w:t>
      </w:r>
      <w:r w:rsidRPr="00F57800">
        <w:rPr>
          <w:rFonts w:eastAsiaTheme="minorEastAsia"/>
        </w:rPr>
        <w:t>r</w:t>
      </w:r>
      <w:r w:rsidRPr="00F57800">
        <w:rPr>
          <w:rFonts w:eastAsiaTheme="minorEastAsia"/>
          <w:vertAlign w:val="subscript"/>
        </w:rPr>
        <w:t>T</w:t>
      </w:r>
      <w:r>
        <w:rPr>
          <w:rFonts w:eastAsiaTheme="minorEastAsia"/>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Pr>
          <w:rFonts w:eastAsiaTheme="minorEastAsia"/>
        </w:rPr>
        <w:t xml:space="preserve"> then </w:t>
      </w:r>
      <m:oMath>
        <m:r>
          <w:rPr>
            <w:rFonts w:ascii="Cambria Math" w:eastAsiaTheme="minorEastAsia" w:hAnsi="Cambria Math"/>
            <w:color w:val="000000" w:themeColor="text1"/>
          </w:rPr>
          <m:t>∆</m:t>
        </m:r>
      </m:oMath>
      <w:r w:rsidRPr="00F57800">
        <w:rPr>
          <w:color w:val="000000" w:themeColor="text1"/>
        </w:rPr>
        <w:t>X</w:t>
      </w:r>
      <w:r>
        <w:rPr>
          <w:color w:val="000000" w:themeColor="text1"/>
          <w:vertAlign w:val="subscript"/>
        </w:rPr>
        <w:t>L2,8</w:t>
      </w:r>
      <w:r w:rsidRPr="00F57800">
        <w:rPr>
          <w:color w:val="000000" w:themeColor="text1"/>
          <w:vertAlign w:val="subscript"/>
        </w:rPr>
        <w:t xml:space="preserve"> </w:t>
      </w:r>
      <w:r w:rsidRPr="00F57800">
        <w:rPr>
          <w:color w:val="000000" w:themeColor="text1"/>
        </w:rPr>
        <w:t xml:space="preserve">+ </w:t>
      </w:r>
      <w:r w:rsidRPr="00F57800">
        <w:rPr>
          <w:rFonts w:eastAsiaTheme="minorEastAsia"/>
        </w:rPr>
        <w:t>r</w:t>
      </w:r>
      <w:r w:rsidRPr="00F57800">
        <w:rPr>
          <w:rFonts w:eastAsiaTheme="minorEastAsia"/>
          <w:vertAlign w:val="subscript"/>
        </w:rPr>
        <w:t>T</w:t>
      </w:r>
      <m:oMath>
        <m:r>
          <w:rPr>
            <w:rFonts w:ascii="Cambria Math" w:eastAsiaTheme="minorEastAsia" w:hAnsi="Cambria Math"/>
          </w:rPr>
          <m:t>(</m:t>
        </m:r>
        <m:r>
          <w:rPr>
            <w:rFonts w:ascii="Cambria Math" w:eastAsiaTheme="minorEastAsia" w:hAnsi="Cambria Math"/>
            <w:color w:val="000000" w:themeColor="text1"/>
          </w:rPr>
          <m:t>∆</m:t>
        </m:r>
      </m:oMath>
      <w:r w:rsidRPr="00F57800">
        <w:rPr>
          <w:rFonts w:eastAsiaTheme="minorEastAsia"/>
        </w:rPr>
        <w:t>D</w:t>
      </w:r>
      <w:r>
        <w:rPr>
          <w:rFonts w:eastAsiaTheme="minorEastAsia"/>
          <w:vertAlign w:val="subscript"/>
        </w:rPr>
        <w:t>C2,8</w:t>
      </w:r>
      <w:r w:rsidRPr="00F57800">
        <w:rPr>
          <w:rFonts w:eastAsiaTheme="minorEastAsia"/>
          <w:vertAlign w:val="subscript"/>
        </w:rPr>
        <w:t xml:space="preserve"> </w:t>
      </w:r>
      <w:r w:rsidRPr="00945A8C">
        <w:rPr>
          <w:rFonts w:eastAsiaTheme="minorEastAsia"/>
        </w:rPr>
        <w:t>-</w:t>
      </w:r>
      <w:r w:rsidRPr="00F57800">
        <w:rPr>
          <w:rFonts w:eastAsiaTheme="minorEastAsia"/>
          <w:vertAlign w:val="subscript"/>
        </w:rPr>
        <w:t xml:space="preserve"> </w:t>
      </w:r>
      <m:oMath>
        <m:r>
          <w:rPr>
            <w:rFonts w:ascii="Cambria Math" w:eastAsiaTheme="minorEastAsia" w:hAnsi="Cambria Math"/>
            <w:color w:val="000000" w:themeColor="text1"/>
          </w:rPr>
          <m:t>∆</m:t>
        </m:r>
      </m:oMath>
      <w:r w:rsidRPr="00F57800">
        <w:rPr>
          <w:rFonts w:eastAsiaTheme="minorEastAsia"/>
        </w:rPr>
        <w:t>D</w:t>
      </w:r>
      <w:r w:rsidRPr="00F57800">
        <w:rPr>
          <w:rFonts w:eastAsiaTheme="minorEastAsia"/>
          <w:vertAlign w:val="subscript"/>
        </w:rPr>
        <w:t>C1,</w:t>
      </w:r>
      <w:r>
        <w:rPr>
          <w:rFonts w:eastAsiaTheme="minorEastAsia"/>
          <w:vertAlign w:val="subscript"/>
        </w:rPr>
        <w:t>8</w:t>
      </w:r>
      <w:r w:rsidRPr="00F57800">
        <w:rPr>
          <w:rFonts w:eastAsiaTheme="minorEastAsia"/>
        </w:rPr>
        <w:t xml:space="preserve">) + </w:t>
      </w:r>
      <m:oMath>
        <m:r>
          <m:rPr>
            <m:sty m:val="p"/>
          </m:rPr>
          <w:rPr>
            <w:rFonts w:ascii="Cambria Math" w:eastAsiaTheme="minorEastAsia" w:hAnsi="Cambria Math"/>
            <w:color w:val="000000" w:themeColor="text1"/>
          </w:rPr>
          <m:t>ε(∆</m:t>
        </m:r>
      </m:oMath>
      <w:r w:rsidRPr="00F57800">
        <w:rPr>
          <w:rFonts w:eastAsiaTheme="minorEastAsia"/>
          <w:color w:val="000000" w:themeColor="text1"/>
        </w:rPr>
        <w:t>D</w:t>
      </w:r>
      <w:r>
        <w:rPr>
          <w:rFonts w:eastAsiaTheme="minorEastAsia"/>
          <w:color w:val="000000" w:themeColor="text1"/>
          <w:vertAlign w:val="subscript"/>
        </w:rPr>
        <w:t>C2,8</w:t>
      </w:r>
      <w:r w:rsidRPr="00F57800">
        <w:rPr>
          <w:rFonts w:eastAsiaTheme="minorEastAsia"/>
          <w:color w:val="000000" w:themeColor="text1"/>
        </w:rPr>
        <w:t>)</w:t>
      </w:r>
      <w:r>
        <w:rPr>
          <w:rFonts w:eastAsiaTheme="minorEastAsia"/>
          <w:color w:val="000000" w:themeColor="text1"/>
        </w:rPr>
        <w:t xml:space="preserve"> - </w:t>
      </w:r>
      <w:r w:rsidRPr="004C7FE3">
        <w:t>E</w:t>
      </w:r>
      <w:r w:rsidRPr="004C7FE3">
        <w:rPr>
          <w:vertAlign w:val="subscript"/>
        </w:rPr>
        <w:t>2</w:t>
      </w:r>
      <w:r w:rsidRPr="00F57800">
        <w:rPr>
          <w:rFonts w:eastAsiaTheme="minorEastAsia"/>
        </w:rPr>
        <w:t xml:space="preserve"> </w:t>
      </w:r>
      <m:oMath>
        <m:r>
          <m:rPr>
            <m:sty m:val="p"/>
          </m:rPr>
          <w:rPr>
            <w:rFonts w:ascii="Cambria Math" w:eastAsiaTheme="minorEastAsia" w:hAnsi="Cambria Math"/>
            <w:vertAlign w:val="subscript"/>
          </w:rPr>
          <m:t>≤</m:t>
        </m:r>
        <m:r>
          <m:rPr>
            <m:sty m:val="p"/>
          </m:rPr>
          <w:rPr>
            <w:rFonts w:ascii="Cambria Math" w:eastAsiaTheme="minorEastAsia" w:hAnsi="Cambria Math"/>
            <w:shd w:val="clear" w:color="auto" w:fill="FFFFFF"/>
          </w:rPr>
          <m:t xml:space="preserve"> </m:t>
        </m:r>
      </m:oMath>
      <w:r w:rsidRPr="00F57800">
        <w:rPr>
          <w:rFonts w:eastAsiaTheme="minorEastAsia"/>
          <w:color w:val="000000" w:themeColor="text1"/>
          <w:shd w:val="clear" w:color="auto" w:fill="FFFFFF"/>
        </w:rPr>
        <w:t>0</w:t>
      </w:r>
      <w:r w:rsidR="00C75882">
        <w:rPr>
          <w:rFonts w:eastAsiaTheme="minorEastAsia"/>
          <w:color w:val="000000" w:themeColor="text1"/>
          <w:shd w:val="clear" w:color="auto" w:fill="FFFFFF"/>
        </w:rPr>
        <w:t xml:space="preserve"> in the event of a trial loss and thus, </w:t>
      </w:r>
      <m:oMath>
        <m:r>
          <w:rPr>
            <w:rFonts w:ascii="Cambria Math" w:eastAsiaTheme="minorEastAsia" w:hAnsi="Cambria Math"/>
          </w:rPr>
          <m:t>∆</m:t>
        </m:r>
      </m:oMath>
      <w:r w:rsidR="00C75882" w:rsidRPr="0031708F">
        <w:rPr>
          <w:rFonts w:eastAsiaTheme="minorEastAsia"/>
          <w:shd w:val="clear" w:color="auto" w:fill="FFFFFF"/>
        </w:rPr>
        <w:t>U</w:t>
      </w:r>
      <w:r w:rsidR="00C75882" w:rsidRPr="0031708F">
        <w:rPr>
          <w:rFonts w:eastAsiaTheme="minorEastAsia"/>
          <w:vertAlign w:val="subscript"/>
        </w:rPr>
        <w:t>L2,8</w:t>
      </w:r>
      <m:oMath>
        <m:r>
          <w:rPr>
            <w:rFonts w:ascii="Cambria Math" w:eastAsiaTheme="minorEastAsia" w:hAnsi="Cambria Math"/>
            <w:vertAlign w:val="subscript"/>
          </w:rPr>
          <m:t xml:space="preserve"> </m:t>
        </m:r>
        <m:r>
          <m:rPr>
            <m:sty m:val="p"/>
          </m:rPr>
          <w:rPr>
            <w:rFonts w:ascii="Cambria Math" w:eastAsiaTheme="minorEastAsia" w:hAnsi="Cambria Math"/>
            <w:vertAlign w:val="subscript"/>
          </w:rPr>
          <m:t>≤</m:t>
        </m:r>
      </m:oMath>
      <w:r w:rsidR="00C75882">
        <w:rPr>
          <w:rFonts w:eastAsiaTheme="minorEastAsia"/>
          <w:vertAlign w:val="subscript"/>
        </w:rPr>
        <w:t xml:space="preserve"> </w:t>
      </w:r>
      <w:r w:rsidR="00C75882" w:rsidRPr="00F57800">
        <w:rPr>
          <w:rFonts w:eastAsiaTheme="minorEastAsia"/>
          <w:color w:val="000000" w:themeColor="text1"/>
          <w:shd w:val="clear" w:color="auto" w:fill="FFFFFF"/>
        </w:rPr>
        <w:t>0</w:t>
      </w:r>
      <w:r w:rsidR="00C75882">
        <w:rPr>
          <w:rFonts w:eastAsiaTheme="minorEastAsia"/>
          <w:color w:val="000000" w:themeColor="text1"/>
          <w:shd w:val="clear" w:color="auto" w:fill="FFFFFF"/>
        </w:rPr>
        <w:t xml:space="preserve"> regardless of litigation effort </w:t>
      </w:r>
      <w:r w:rsidR="00C75882" w:rsidRPr="004C7FE3">
        <w:t>E</w:t>
      </w:r>
      <w:r w:rsidR="00C75882" w:rsidRPr="004C7FE3">
        <w:rPr>
          <w:vertAlign w:val="subscript"/>
        </w:rPr>
        <w:t>2</w:t>
      </w:r>
      <w:r w:rsidR="00C75882">
        <w:rPr>
          <w:vertAlign w:val="subscript"/>
        </w:rPr>
        <w:t xml:space="preserve">. </w:t>
      </w:r>
      <w:r>
        <w:rPr>
          <w:rFonts w:eastAsiaTheme="minorEastAsia"/>
          <w:shd w:val="clear" w:color="auto" w:fill="FFFFFF"/>
        </w:rPr>
        <w:t xml:space="preserve">A rational </w:t>
      </w:r>
      <w:r w:rsidRPr="00F57800">
        <w:rPr>
          <w:rFonts w:eastAsiaTheme="minorEastAsia"/>
          <w:shd w:val="clear" w:color="auto" w:fill="FFFFFF"/>
        </w:rPr>
        <w:t>L</w:t>
      </w:r>
      <w:r w:rsidRPr="00F57800">
        <w:rPr>
          <w:rFonts w:eastAsiaTheme="minorEastAsia"/>
          <w:shd w:val="clear" w:color="auto" w:fill="FFFFFF"/>
          <w:vertAlign w:val="subscript"/>
        </w:rPr>
        <w:t>2</w:t>
      </w:r>
      <w:r w:rsidRPr="00F57800">
        <w:rPr>
          <w:rFonts w:eastAsiaTheme="minorEastAsia"/>
          <w:shd w:val="clear" w:color="auto" w:fill="FFFFFF"/>
        </w:rPr>
        <w:t xml:space="preserve">’s best response is </w:t>
      </w:r>
      <w:r>
        <w:rPr>
          <w:rFonts w:eastAsiaTheme="minorEastAsia"/>
          <w:shd w:val="clear" w:color="auto" w:fill="FFFFFF"/>
        </w:rPr>
        <w:t xml:space="preserve">to take at t=7. </w:t>
      </w:r>
    </w:p>
    <w:p w14:paraId="353FFF10" w14:textId="77777777" w:rsidR="00BF3069" w:rsidRDefault="00BF3069" w:rsidP="00BF3069">
      <w:pPr>
        <w:spacing w:line="360" w:lineRule="auto"/>
        <w:rPr>
          <w:rFonts w:eastAsiaTheme="minorEastAsia"/>
          <w:shd w:val="clear" w:color="auto" w:fill="FFFFFF"/>
        </w:rPr>
      </w:pPr>
    </w:p>
    <w:p w14:paraId="7328EA84" w14:textId="77777777" w:rsidR="00BF3069" w:rsidRDefault="00BF3069" w:rsidP="00BF3069">
      <w:pPr>
        <w:spacing w:line="360" w:lineRule="auto"/>
        <w:rPr>
          <w:rFonts w:eastAsiaTheme="minorEastAsia"/>
        </w:rPr>
      </w:pPr>
      <w:r>
        <w:rPr>
          <w:rFonts w:eastAsiaTheme="minorEastAsia"/>
          <w:color w:val="000000" w:themeColor="text1"/>
        </w:rPr>
        <w:t>At L</w:t>
      </w:r>
      <w:r>
        <w:rPr>
          <w:rFonts w:eastAsiaTheme="minorEastAsia"/>
          <w:color w:val="000000" w:themeColor="text1"/>
          <w:vertAlign w:val="subscript"/>
        </w:rPr>
        <w:t>1</w:t>
      </w:r>
      <w:r>
        <w:rPr>
          <w:rFonts w:eastAsiaTheme="minorEastAsia"/>
          <w:color w:val="000000" w:themeColor="text1"/>
        </w:rPr>
        <w:t>’s last decision-node prior to trial, t=6, a rational L</w:t>
      </w:r>
      <w:r>
        <w:rPr>
          <w:rFonts w:eastAsiaTheme="minorEastAsia"/>
          <w:color w:val="000000" w:themeColor="text1"/>
          <w:vertAlign w:val="subscript"/>
        </w:rPr>
        <w:t>1</w:t>
      </w:r>
      <w:r>
        <w:rPr>
          <w:rFonts w:eastAsiaTheme="minorEastAsia"/>
          <w:color w:val="000000" w:themeColor="text1"/>
        </w:rPr>
        <w:t xml:space="preserve"> is predicted to use a backward induction approach to determine their best response. If we assume that the awareness/publicity of trial is relatively high such that </w:t>
      </w:r>
      <w:r w:rsidRPr="00F57800">
        <w:rPr>
          <w:rFonts w:eastAsiaTheme="minorEastAsia"/>
        </w:rPr>
        <w:t>r</w:t>
      </w:r>
      <w:r w:rsidRPr="00F57800">
        <w:rPr>
          <w:rFonts w:eastAsiaTheme="minorEastAsia"/>
          <w:vertAlign w:val="subscript"/>
        </w:rPr>
        <w:t>T</w:t>
      </w:r>
      <w:r>
        <w:rPr>
          <w:rFonts w:eastAsiaTheme="minorEastAsia"/>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C1,8</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w:rPr>
                <w:rFonts w:ascii="Cambria Math" w:eastAsiaTheme="minorEastAsia" w:hAnsi="Cambria Math"/>
                <w:color w:val="000000" w:themeColor="text1"/>
              </w:rPr>
              <m:t>)|</m:t>
            </m:r>
          </m:den>
        </m:f>
      </m:oMath>
      <w:r>
        <w:rPr>
          <w:rFonts w:eastAsiaTheme="minorEastAsia"/>
          <w:color w:val="000000" w:themeColor="text1"/>
        </w:rPr>
        <w:t>, a rational and risk-averse L</w:t>
      </w:r>
      <w:r>
        <w:rPr>
          <w:rFonts w:eastAsiaTheme="minorEastAsia"/>
          <w:color w:val="000000" w:themeColor="text1"/>
          <w:vertAlign w:val="subscript"/>
        </w:rPr>
        <w:t>1</w:t>
      </w:r>
      <w:r>
        <w:rPr>
          <w:rFonts w:eastAsiaTheme="minorEastAsia"/>
          <w:color w:val="000000" w:themeColor="text1"/>
        </w:rPr>
        <w:t xml:space="preserve"> will find it in their best interest to avoid trial. Using a backward induction approach, L</w:t>
      </w:r>
      <w:r>
        <w:rPr>
          <w:rFonts w:eastAsiaTheme="minorEastAsia"/>
          <w:color w:val="000000" w:themeColor="text1"/>
          <w:vertAlign w:val="subscript"/>
        </w:rPr>
        <w:t>1</w:t>
      </w:r>
      <w:r>
        <w:rPr>
          <w:rFonts w:eastAsiaTheme="minorEastAsia"/>
          <w:color w:val="000000" w:themeColor="text1"/>
        </w:rPr>
        <w:t xml:space="preserve"> will consider what a rational L</w:t>
      </w:r>
      <w:r>
        <w:rPr>
          <w:rFonts w:eastAsiaTheme="minorEastAsia"/>
          <w:color w:val="000000" w:themeColor="text1"/>
          <w:vertAlign w:val="subscript"/>
        </w:rPr>
        <w:t>2</w:t>
      </w:r>
      <w:r>
        <w:rPr>
          <w:rFonts w:eastAsiaTheme="minorEastAsia"/>
          <w:color w:val="000000" w:themeColor="text1"/>
        </w:rPr>
        <w:t>’s best response is at t=7. If the awareness/publicity of trial is relatively high such that</w:t>
      </w:r>
      <w:r w:rsidRPr="00306733">
        <w:rPr>
          <w:rFonts w:eastAsiaTheme="minorEastAsia"/>
        </w:rPr>
        <w:t xml:space="preserve"> </w:t>
      </w:r>
      <w:r w:rsidRPr="00F57800">
        <w:rPr>
          <w:rFonts w:eastAsiaTheme="minorEastAsia"/>
        </w:rPr>
        <w:t>r</w:t>
      </w:r>
      <w:r w:rsidRPr="00F57800">
        <w:rPr>
          <w:rFonts w:eastAsiaTheme="minorEastAsia"/>
          <w:vertAlign w:val="subscript"/>
        </w:rPr>
        <w:t>T</w:t>
      </w:r>
      <w:r>
        <w:rPr>
          <w:rFonts w:eastAsiaTheme="minorEastAsia"/>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Pr>
          <w:rFonts w:eastAsiaTheme="minorEastAsia"/>
          <w:color w:val="000000" w:themeColor="text1"/>
        </w:rPr>
        <w:t>, a rational and risk-averse L</w:t>
      </w:r>
      <w:r>
        <w:rPr>
          <w:rFonts w:eastAsiaTheme="minorEastAsia"/>
          <w:color w:val="000000" w:themeColor="text1"/>
          <w:vertAlign w:val="subscript"/>
        </w:rPr>
        <w:t>2</w:t>
      </w:r>
      <w:r>
        <w:rPr>
          <w:rFonts w:eastAsiaTheme="minorEastAsia"/>
          <w:color w:val="000000" w:themeColor="text1"/>
        </w:rPr>
        <w:t xml:space="preserve">’s best response is to take at t=7. If the lawyers’ risk-aversion and the magnitude of </w:t>
      </w:r>
      <w:r w:rsidRPr="003674FB">
        <w:rPr>
          <w:rFonts w:eastAsiaTheme="minorEastAsia"/>
          <w:i/>
          <w:shd w:val="clear" w:color="auto" w:fill="FFFFFF"/>
        </w:rPr>
        <w:t>r</w:t>
      </w:r>
      <w:r w:rsidRPr="003674FB">
        <w:rPr>
          <w:rFonts w:eastAsiaTheme="minorEastAsia"/>
          <w:shd w:val="clear" w:color="auto" w:fill="FFFFFF"/>
          <w:vertAlign w:val="subscript"/>
        </w:rPr>
        <w:t>T</w:t>
      </w:r>
      <w:r>
        <w:rPr>
          <w:rFonts w:eastAsiaTheme="minorEastAsia"/>
          <w:shd w:val="clear" w:color="auto" w:fill="FFFFFF"/>
        </w:rPr>
        <w:t xml:space="preserve"> is common knowledge, then the rational L</w:t>
      </w:r>
      <w:r>
        <w:rPr>
          <w:rFonts w:eastAsiaTheme="minorEastAsia"/>
          <w:shd w:val="clear" w:color="auto" w:fill="FFFFFF"/>
          <w:vertAlign w:val="subscript"/>
        </w:rPr>
        <w:t>1</w:t>
      </w:r>
      <w:r>
        <w:rPr>
          <w:rFonts w:eastAsiaTheme="minorEastAsia"/>
          <w:shd w:val="clear" w:color="auto" w:fill="FFFFFF"/>
        </w:rPr>
        <w:t xml:space="preserve">’s best response is to pass at t=6 if </w:t>
      </w: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shd w:val="clear" w:color="auto" w:fill="FFFFFF"/>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C1,7</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C2,7</m:t>
                </m:r>
              </m:sub>
            </m:sSub>
            <m:r>
              <w:rPr>
                <w:rFonts w:ascii="Cambria Math" w:eastAsiaTheme="minorEastAsia" w:hAnsi="Cambria Math"/>
                <w:color w:val="000000" w:themeColor="text1"/>
              </w:rPr>
              <m:t>)|</m:t>
            </m:r>
          </m:den>
        </m:f>
      </m:oMath>
      <w:r>
        <w:rPr>
          <w:rFonts w:eastAsiaTheme="minorEastAsia"/>
          <w:color w:val="000000" w:themeColor="text1"/>
        </w:rPr>
        <w:t xml:space="preserve">, knowing that their risk-averse rival will avoid trial and take at t=7. </w:t>
      </w:r>
      <w:r>
        <w:rPr>
          <w:rFonts w:eastAsiaTheme="minorEastAsia"/>
        </w:rPr>
        <w:t xml:space="preserve">If these assumptions hold, then ceteris paribus, overinvestment past the integrative outcome is predicted, but the game will terminate just prior to trial. </w:t>
      </w:r>
      <w:r w:rsidRPr="003674FB">
        <w:rPr>
          <w:rFonts w:eastAsiaTheme="minorEastAsia"/>
        </w:rPr>
        <w:t xml:space="preserve">This proposition implies that </w:t>
      </w:r>
      <w:r>
        <w:rPr>
          <w:rFonts w:eastAsiaTheme="minorEastAsia"/>
        </w:rPr>
        <w:t xml:space="preserve">the ‘typical lawyer’, paid on an hourly-fee basis, may find it rational to maximise pecuniary compensation during the settlement phase, but evade the higher intensity reputational ramifications associated with trial-losses. </w:t>
      </w:r>
      <w:r w:rsidRPr="003674FB">
        <w:rPr>
          <w:rFonts w:eastAsiaTheme="minorEastAsia"/>
        </w:rPr>
        <w:t xml:space="preserve">This is consistent with the ‘courthouse steps’ </w:t>
      </w:r>
      <w:r>
        <w:rPr>
          <w:rFonts w:eastAsiaTheme="minorEastAsia"/>
        </w:rPr>
        <w:t xml:space="preserve">phenomenon. </w:t>
      </w:r>
    </w:p>
    <w:p w14:paraId="03B9C4C4" w14:textId="77777777" w:rsidR="00BF3069" w:rsidRDefault="00BF3069" w:rsidP="00BF3069">
      <w:pPr>
        <w:spacing w:line="360" w:lineRule="auto"/>
        <w:rPr>
          <w:rFonts w:eastAsiaTheme="minorEastAsia"/>
          <w:color w:val="000000" w:themeColor="text1"/>
        </w:rPr>
      </w:pPr>
    </w:p>
    <w:p w14:paraId="639D3A70" w14:textId="7A98040F" w:rsidR="00164DB8" w:rsidRPr="00B321E9" w:rsidRDefault="00BF3069" w:rsidP="00BF3069">
      <w:pPr>
        <w:spacing w:line="360" w:lineRule="auto"/>
        <w:rPr>
          <w:rFonts w:eastAsiaTheme="minorEastAsia"/>
          <w:bCs/>
          <w:iCs/>
          <w:color w:val="000000" w:themeColor="text1"/>
          <w:shd w:val="clear" w:color="auto" w:fill="FFFFFF"/>
        </w:rPr>
      </w:pPr>
      <w:r w:rsidRPr="005B2396">
        <w:rPr>
          <w:rFonts w:eastAsiaTheme="minorEastAsia"/>
          <w:b/>
          <w:bCs/>
          <w:i/>
          <w:iCs/>
          <w:color w:val="000000" w:themeColor="text1"/>
          <w:shd w:val="clear" w:color="auto" w:fill="FFFFFF"/>
        </w:rPr>
        <w:t>Welfare Implications</w:t>
      </w:r>
      <w:r w:rsidRPr="005B2396">
        <w:rPr>
          <w:rFonts w:eastAsiaTheme="minorEastAsia"/>
          <w:b/>
          <w:bCs/>
          <w:iCs/>
          <w:color w:val="000000" w:themeColor="text1"/>
          <w:shd w:val="clear" w:color="auto" w:fill="FFFFFF"/>
        </w:rPr>
        <w:t xml:space="preserve">: </w:t>
      </w:r>
      <w:r w:rsidR="00164DB8">
        <w:rPr>
          <w:rFonts w:eastAsiaTheme="minorEastAsia"/>
          <w:bCs/>
          <w:iCs/>
          <w:color w:val="000000" w:themeColor="text1"/>
          <w:shd w:val="clear" w:color="auto" w:fill="FFFFFF"/>
        </w:rPr>
        <w:t xml:space="preserve">If </w:t>
      </w:r>
      <w:r w:rsidR="00164DB8" w:rsidRPr="005D7E3B">
        <w:rPr>
          <w:rFonts w:eastAsiaTheme="minorEastAsia"/>
          <w:color w:val="000000" w:themeColor="text1"/>
        </w:rPr>
        <w:t>and</w:t>
      </w:r>
      <w:r w:rsidR="00164DB8">
        <w:rPr>
          <w:rFonts w:eastAsiaTheme="minorEastAsia"/>
          <w:color w:val="000000" w:themeColor="text1"/>
        </w:rPr>
        <w:t xml:space="preserve"> </w:t>
      </w:r>
      <w:r w:rsidR="00164DB8" w:rsidRPr="00F57800">
        <w:rPr>
          <w:rFonts w:eastAsiaTheme="minorEastAsia"/>
          <w:shd w:val="clear" w:color="auto" w:fill="FFFFFF"/>
        </w:rPr>
        <w:t xml:space="preserve">0 </w:t>
      </w:r>
      <m:oMath>
        <m:r>
          <w:rPr>
            <w:rFonts w:ascii="Cambria Math" w:eastAsiaTheme="minorEastAsia" w:hAnsi="Cambria Math"/>
            <w:shd w:val="clear" w:color="auto" w:fill="FFFFFF"/>
          </w:rPr>
          <m:t>≤</m:t>
        </m:r>
      </m:oMath>
      <w:r w:rsidR="00164DB8" w:rsidRPr="00F57800">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sidR="00164DB8" w:rsidRPr="00F57800">
        <w:rPr>
          <w:rFonts w:eastAsiaTheme="minorEastAsia"/>
          <w:color w:val="000000" w:themeColor="text1"/>
        </w:rPr>
        <w:t xml:space="preserve"> </w:t>
      </w:r>
      <m:oMath>
        <m:r>
          <w:rPr>
            <w:rFonts w:ascii="Cambria Math" w:eastAsiaTheme="minorEastAsia" w:hAnsi="Cambria Math"/>
            <w:shd w:val="clear" w:color="auto" w:fill="FFFFFF"/>
          </w:rPr>
          <m:t>≤</m:t>
        </m:r>
      </m:oMath>
      <w:r w:rsidR="00164DB8" w:rsidRPr="00F57800">
        <w:rPr>
          <w:rFonts w:eastAsiaTheme="minorEastAsia"/>
          <w:color w:val="000000" w:themeColor="text1"/>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w:rPr>
                <w:rFonts w:ascii="Cambria Math" w:eastAsiaTheme="minorEastAsia" w:hAnsi="Cambria Math"/>
                <w:color w:val="000000" w:themeColor="text1"/>
              </w:rPr>
              <m:t>|</m:t>
            </m:r>
          </m:den>
        </m:f>
      </m:oMath>
      <w:r w:rsidR="00AC1F88">
        <w:rPr>
          <w:rFonts w:eastAsiaTheme="minorEastAsia"/>
          <w:color w:val="000000" w:themeColor="text1"/>
        </w:rPr>
        <w:t xml:space="preserve"> and </w:t>
      </w:r>
      <w:r w:rsidR="008D3388"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008D3388" w:rsidRPr="00D7673B">
        <w:rPr>
          <w:rFonts w:eastAsiaTheme="minorEastAsia"/>
        </w:rPr>
        <w:t>r</w:t>
      </w:r>
      <w:r w:rsidR="008D3388" w:rsidRPr="00D7673B">
        <w:rPr>
          <w:rFonts w:eastAsiaTheme="minorEastAsia"/>
          <w:vertAlign w:val="subscript"/>
        </w:rPr>
        <w:t xml:space="preserve">s </w:t>
      </w:r>
      <m:oMath>
        <m:r>
          <w:rPr>
            <w:rFonts w:ascii="Cambria Math" w:eastAsiaTheme="minorEastAsia" w:hAnsi="Cambria Math"/>
            <w:shd w:val="clear" w:color="auto" w:fill="FFFFFF"/>
          </w:rPr>
          <m:t>≤</m:t>
        </m:r>
      </m:oMath>
      <w:r w:rsidR="008D3388"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L2,6</m:t>
                </m:r>
                <m:r>
                  <m:rPr>
                    <m:sty m:val="p"/>
                  </m:rPr>
                  <w:rPr>
                    <w:rFonts w:ascii="Cambria Math" w:hAnsi="Cambria Math"/>
                    <w:color w:val="000000" w:themeColor="text1"/>
                    <w:vertAlign w:val="subscript"/>
                  </w:rPr>
                  <m:t xml:space="preserve">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m:t>
                </m:r>
                <m:r>
                  <m:rPr>
                    <m:sty m:val="p"/>
                  </m:rPr>
                  <w:rPr>
                    <w:rFonts w:ascii="Cambria Math" w:eastAsiaTheme="minorEastAsia" w:hAnsi="Cambria Math"/>
                    <w:color w:val="000000" w:themeColor="text1"/>
                    <w:vertAlign w:val="subscript"/>
                  </w:rPr>
                  <m:t>6</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m:t>
                </m:r>
                <m:r>
                  <m:rPr>
                    <m:sty m:val="p"/>
                  </m:rPr>
                  <w:rPr>
                    <w:rFonts w:ascii="Cambria Math" w:eastAsiaTheme="minorEastAsia" w:hAnsi="Cambria Math"/>
                    <w:vertAlign w:val="subscript"/>
                  </w:rPr>
                  <m:t>6</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m:t>
                </m:r>
                <m:r>
                  <m:rPr>
                    <m:sty m:val="p"/>
                  </m:rPr>
                  <w:rPr>
                    <w:rFonts w:ascii="Cambria Math" w:eastAsiaTheme="minorEastAsia" w:hAnsi="Cambria Math"/>
                    <w:vertAlign w:val="subscript"/>
                  </w:rPr>
                  <m:t>6</m:t>
                </m:r>
              </m:sub>
            </m:sSub>
            <m:r>
              <w:rPr>
                <w:rFonts w:ascii="Cambria Math" w:eastAsiaTheme="minorEastAsia" w:hAnsi="Cambria Math"/>
                <w:color w:val="000000" w:themeColor="text1"/>
              </w:rPr>
              <m:t>)|</m:t>
            </m:r>
          </m:den>
        </m:f>
      </m:oMath>
      <w:r w:rsidR="00B321E9">
        <w:rPr>
          <w:rFonts w:eastAsiaTheme="minorEastAsia"/>
          <w:color w:val="000000" w:themeColor="text1"/>
        </w:rPr>
        <w:t xml:space="preserve"> for </w:t>
      </w:r>
      <w:r w:rsidR="00B321E9">
        <w:rPr>
          <w:rFonts w:eastAsiaTheme="minorEastAsia"/>
          <w:color w:val="000000" w:themeColor="text1"/>
        </w:rPr>
        <w:t>L</w:t>
      </w:r>
      <w:r w:rsidR="00B321E9">
        <w:rPr>
          <w:rFonts w:eastAsiaTheme="minorEastAsia"/>
          <w:color w:val="000000" w:themeColor="text1"/>
          <w:vertAlign w:val="subscript"/>
        </w:rPr>
        <w:t>2</w:t>
      </w:r>
      <w:r w:rsidR="0008241A">
        <w:rPr>
          <w:rFonts w:eastAsiaTheme="minorEastAsia"/>
          <w:color w:val="000000" w:themeColor="text1"/>
          <w:vertAlign w:val="subscript"/>
        </w:rPr>
        <w:t xml:space="preserve">, </w:t>
      </w:r>
    </w:p>
    <w:p w14:paraId="2165CEDA" w14:textId="7EE99E85" w:rsidR="009645CA" w:rsidRDefault="00BF3069" w:rsidP="00BF3069">
      <w:pPr>
        <w:spacing w:line="360" w:lineRule="auto"/>
        <w:rPr>
          <w:rFonts w:eastAsiaTheme="minorEastAsia"/>
          <w:color w:val="000000" w:themeColor="text1"/>
        </w:rPr>
      </w:pPr>
      <w:r w:rsidRPr="00D7673B">
        <w:rPr>
          <w:rFonts w:eastAsiaTheme="minorEastAsia"/>
          <w:shd w:val="clear" w:color="auto" w:fill="FFFFFF"/>
        </w:rPr>
        <w:t xml:space="preserve">0 </w:t>
      </w:r>
      <m:oMath>
        <m:r>
          <w:rPr>
            <w:rFonts w:ascii="Cambria Math" w:eastAsiaTheme="minorEastAsia" w:hAnsi="Cambria Math"/>
            <w:shd w:val="clear" w:color="auto" w:fill="FFFFFF"/>
          </w:rPr>
          <m:t>≤</m:t>
        </m:r>
      </m:oMath>
      <w:r w:rsidRPr="00D7673B">
        <w:rPr>
          <w:rFonts w:eastAsiaTheme="minorEastAsia"/>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w:t>
      </w:r>
      <m:oMath>
        <m:r>
          <w:rPr>
            <w:rFonts w:ascii="Cambria Math" w:eastAsiaTheme="minorEastAsia" w:hAnsi="Cambria Math"/>
            <w:shd w:val="clear" w:color="auto" w:fill="FFFFFF"/>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w:rPr>
                <w:rFonts w:ascii="Cambria Math" w:eastAsiaTheme="minorEastAsia" w:hAnsi="Cambria Math"/>
                <w:color w:val="000000" w:themeColor="text1"/>
              </w:rPr>
              <m:t>|</m:t>
            </m:r>
          </m:den>
        </m:f>
      </m:oMath>
      <w:r>
        <w:rPr>
          <w:rFonts w:eastAsiaTheme="minorEastAsia"/>
          <w:shd w:val="clear" w:color="auto" w:fill="FFFFFF"/>
        </w:rPr>
        <w:t xml:space="preserve"> and </w:t>
      </w:r>
      <w:r w:rsidRPr="00D7673B">
        <w:rPr>
          <w:rFonts w:eastAsiaTheme="minorEastAsia"/>
          <w:bCs/>
          <w:iCs/>
          <w:shd w:val="clear" w:color="auto" w:fill="FFFFFF"/>
        </w:rPr>
        <w:t xml:space="preserve">0 </w:t>
      </w:r>
      <m:oMath>
        <m:r>
          <m:rPr>
            <m:sty m:val="p"/>
          </m:rPr>
          <w:rPr>
            <w:rFonts w:ascii="Cambria Math" w:eastAsiaTheme="minorEastAsia" w:hAnsi="Cambria Math"/>
            <w:vertAlign w:val="subscript"/>
          </w:rPr>
          <m:t xml:space="preserve">≤ </m:t>
        </m:r>
      </m:oMath>
      <w:r w:rsidRPr="00D7673B">
        <w:rPr>
          <w:rFonts w:eastAsiaTheme="minorEastAsia"/>
        </w:rPr>
        <w:t>r</w:t>
      </w:r>
      <w:r w:rsidRPr="00D7673B">
        <w:rPr>
          <w:rFonts w:eastAsiaTheme="minorEastAsia"/>
          <w:vertAlign w:val="subscript"/>
        </w:rPr>
        <w:t xml:space="preserve">s </w:t>
      </w:r>
      <m:oMath>
        <m:r>
          <w:rPr>
            <w:rFonts w:ascii="Cambria Math" w:eastAsiaTheme="minorEastAsia" w:hAnsi="Cambria Math"/>
            <w:shd w:val="clear" w:color="auto" w:fill="FFFFFF"/>
          </w:rPr>
          <m:t>≤</m:t>
        </m:r>
      </m:oMath>
      <w:r w:rsidRPr="00D7673B">
        <w:rPr>
          <w:rFonts w:eastAsiaTheme="minorEastAsia"/>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L1,7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C1,7</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C1,7</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C2,7</m:t>
                </m:r>
              </m:sub>
            </m:sSub>
            <m:r>
              <w:rPr>
                <w:rFonts w:ascii="Cambria Math" w:eastAsiaTheme="minorEastAsia" w:hAnsi="Cambria Math"/>
                <w:color w:val="000000" w:themeColor="text1"/>
              </w:rPr>
              <m:t>)|</m:t>
            </m:r>
          </m:den>
        </m:f>
      </m:oMath>
      <w:r>
        <w:rPr>
          <w:rFonts w:eastAsiaTheme="minorEastAsia"/>
          <w:color w:val="000000" w:themeColor="text1"/>
        </w:rPr>
        <w:t xml:space="preserve"> for</w:t>
      </w:r>
      <w:r w:rsidRPr="005D7E3B">
        <w:rPr>
          <w:rFonts w:eastAsiaTheme="minorEastAsia"/>
          <w:color w:val="000000" w:themeColor="text1"/>
        </w:rPr>
        <w:t xml:space="preserve"> L</w:t>
      </w:r>
      <w:r w:rsidRPr="005D7E3B">
        <w:rPr>
          <w:rFonts w:eastAsiaTheme="minorEastAsia"/>
          <w:color w:val="000000" w:themeColor="text1"/>
          <w:vertAlign w:val="subscript"/>
        </w:rPr>
        <w:t>1</w:t>
      </w:r>
      <w:r w:rsidR="008E5298">
        <w:rPr>
          <w:rFonts w:eastAsiaTheme="minorEastAsia"/>
          <w:color w:val="000000" w:themeColor="text1"/>
          <w:vertAlign w:val="subscript"/>
        </w:rPr>
        <w:t xml:space="preserve"> </w:t>
      </w:r>
      <w:r>
        <w:rPr>
          <w:rFonts w:eastAsiaTheme="minorEastAsia"/>
          <w:color w:val="000000" w:themeColor="text1"/>
        </w:rPr>
        <w:t xml:space="preserve">and </w:t>
      </w:r>
      <w:r w:rsidRPr="00F57800">
        <w:rPr>
          <w:rFonts w:eastAsiaTheme="minorEastAsia"/>
        </w:rPr>
        <w:t>r</w:t>
      </w:r>
      <w:r w:rsidRPr="00F57800">
        <w:rPr>
          <w:rFonts w:eastAsiaTheme="minorEastAsia"/>
          <w:vertAlign w:val="subscript"/>
        </w:rPr>
        <w:t>T</w:t>
      </w:r>
      <w:r>
        <w:rPr>
          <w:rFonts w:eastAsiaTheme="minorEastAsia"/>
        </w:rPr>
        <w:t xml:space="preserve"> </w:t>
      </w:r>
      <m:oMath>
        <m:r>
          <w:rPr>
            <w:rFonts w:ascii="Cambria Math" w:eastAsiaTheme="minorEastAsia" w:hAnsi="Cambria Math"/>
            <w:color w:val="000000" w:themeColor="text1"/>
            <w:shd w:val="clear" w:color="auto" w:fill="FFFFFF"/>
          </w:rPr>
          <m:t>≥</m:t>
        </m:r>
      </m:oMath>
      <w:r>
        <w:rPr>
          <w:rFonts w:eastAsiaTheme="minorEastAsia"/>
          <w:color w:val="000000" w:themeColor="text1"/>
          <w:shd w:val="clear" w:color="auto" w:fill="FFFFFF"/>
        </w:rPr>
        <w:t xml:space="preserve">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L2,8 </m:t>
                </m:r>
              </m:sub>
            </m:sSub>
            <m:r>
              <w:rPr>
                <w:rFonts w:ascii="Cambria Math" w:eastAsiaTheme="minorEastAsia" w:hAnsi="Cambria Math"/>
                <w:color w:val="000000" w:themeColor="text1"/>
              </w:rPr>
              <m:t xml:space="preserve">+ </m:t>
            </m:r>
            <m:r>
              <m:rPr>
                <m:sty m:val="p"/>
              </m:rPr>
              <w:rPr>
                <w:rFonts w:ascii="Cambria Math" w:eastAsiaTheme="minorEastAsia" w:hAnsi="Cambria Math"/>
                <w:color w:val="000000" w:themeColor="text1"/>
              </w:rPr>
              <m:t>ε(∆</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C2,8</m:t>
                </m:r>
              </m:sub>
            </m:sSub>
            <m:r>
              <m:rPr>
                <m:sty m:val="p"/>
              </m:rPr>
              <w:rPr>
                <w:rFonts w:ascii="Cambria Math" w:eastAsiaTheme="minorEastAsia" w:hAnsi="Cambria Math"/>
                <w:color w:val="000000" w:themeColor="text1"/>
              </w:rPr>
              <m:t>)</m:t>
            </m:r>
          </m:num>
          <m:den>
            <m:r>
              <w:rPr>
                <w:rFonts w:ascii="Cambria Math" w:eastAsiaTheme="minorEastAsia" w:hAnsi="Cambria Math"/>
                <w:color w:val="000000" w:themeColor="text1"/>
              </w:rPr>
              <m:t>|</m:t>
            </m:r>
            <m:r>
              <w:rPr>
                <w:rFonts w:ascii="Cambria Math" w:eastAsiaTheme="minorEastAsia" w:hAnsi="Cambria Math"/>
              </w:rPr>
              <m:t>(</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C2,8</m:t>
                </m:r>
              </m:sub>
            </m:sSub>
            <m:r>
              <m:rPr>
                <m:sty m:val="p"/>
              </m:rPr>
              <w:rPr>
                <w:rFonts w:ascii="Cambria Math" w:eastAsiaTheme="minorEastAsia" w:hAnsi="Cambria Math"/>
                <w:vertAlign w:val="subscript"/>
              </w:rPr>
              <m:t xml:space="preserve">- </m:t>
            </m:r>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vertAlign w:val="subscript"/>
                  </w:rPr>
                  <m:t>C1,8</m:t>
                </m:r>
              </m:sub>
            </m:sSub>
            <m:r>
              <w:rPr>
                <w:rFonts w:ascii="Cambria Math" w:eastAsiaTheme="minorEastAsia" w:hAnsi="Cambria Math"/>
                <w:color w:val="000000" w:themeColor="text1"/>
              </w:rPr>
              <m:t>)|</m:t>
            </m:r>
          </m:den>
        </m:f>
      </m:oMath>
      <w:r w:rsidR="0008241A">
        <w:rPr>
          <w:rFonts w:eastAsiaTheme="minorEastAsia"/>
          <w:color w:val="000000" w:themeColor="text1"/>
        </w:rPr>
        <w:t xml:space="preserve"> (and this is common knowledge), the </w:t>
      </w:r>
      <w:r>
        <w:rPr>
          <w:rFonts w:eastAsiaTheme="minorEastAsia"/>
          <w:color w:val="000000" w:themeColor="text1"/>
        </w:rPr>
        <w:t>rational and risk-averse L</w:t>
      </w:r>
      <w:r>
        <w:rPr>
          <w:rFonts w:eastAsiaTheme="minorEastAsia"/>
          <w:color w:val="000000" w:themeColor="text1"/>
          <w:vertAlign w:val="subscript"/>
        </w:rPr>
        <w:t>2</w:t>
      </w:r>
      <w:r>
        <w:rPr>
          <w:rFonts w:eastAsiaTheme="minorEastAsia"/>
          <w:color w:val="000000" w:themeColor="text1"/>
        </w:rPr>
        <w:t xml:space="preserve"> will find it rational to take at t=7, regardless of litigation effort, where total client welfare (250) will be less than the client welfare maximising</w:t>
      </w:r>
      <w:r w:rsidR="00CE2F15">
        <w:rPr>
          <w:rFonts w:eastAsiaTheme="minorEastAsia"/>
          <w:color w:val="000000" w:themeColor="text1"/>
        </w:rPr>
        <w:t xml:space="preserve"> outcome (270). </w:t>
      </w:r>
    </w:p>
    <w:p w14:paraId="2859B28A" w14:textId="77777777" w:rsidR="00EE0446" w:rsidRPr="003674FB" w:rsidRDefault="00EE0446" w:rsidP="00EE0446">
      <w:pPr>
        <w:spacing w:line="360" w:lineRule="auto"/>
        <w:rPr>
          <w:rFonts w:eastAsiaTheme="minorEastAsia"/>
        </w:rPr>
      </w:pPr>
    </w:p>
    <w:p w14:paraId="14232AA2" w14:textId="64AE018E" w:rsidR="00EE0446" w:rsidRPr="00BF3069" w:rsidRDefault="00EE0446" w:rsidP="00BF3069">
      <w:pPr>
        <w:pStyle w:val="ListParagraph"/>
        <w:numPr>
          <w:ilvl w:val="0"/>
          <w:numId w:val="1"/>
        </w:numPr>
        <w:spacing w:line="360" w:lineRule="auto"/>
        <w:rPr>
          <w:rFonts w:eastAsiaTheme="minorEastAsia"/>
          <w:b/>
          <w:shd w:val="clear" w:color="auto" w:fill="FFFFFF"/>
        </w:rPr>
      </w:pPr>
      <w:r w:rsidRPr="00BF3069">
        <w:rPr>
          <w:rFonts w:eastAsiaTheme="minorEastAsia"/>
          <w:b/>
          <w:shd w:val="clear" w:color="auto" w:fill="FFFFFF"/>
        </w:rPr>
        <w:t xml:space="preserve">Discussion and Conclusion  </w:t>
      </w:r>
    </w:p>
    <w:p w14:paraId="52EC0997" w14:textId="54C3AC92" w:rsidR="00EE0446" w:rsidRDefault="00EE0446" w:rsidP="00EE0446">
      <w:pPr>
        <w:spacing w:line="360" w:lineRule="auto"/>
        <w:rPr>
          <w:color w:val="000000" w:themeColor="text1"/>
        </w:rPr>
      </w:pPr>
      <w:r>
        <w:rPr>
          <w:color w:val="000000" w:themeColor="text1"/>
        </w:rPr>
        <w:t xml:space="preserve">This </w:t>
      </w:r>
      <w:r w:rsidRPr="001E3159">
        <w:rPr>
          <w:color w:val="000000" w:themeColor="text1"/>
        </w:rPr>
        <w:t>paper addresses Sullivan’s (2016) call</w:t>
      </w:r>
      <w:r w:rsidRPr="004C7FE3">
        <w:rPr>
          <w:color w:val="000000" w:themeColor="text1"/>
        </w:rPr>
        <w:t xml:space="preserve"> for reconciliation</w:t>
      </w:r>
      <w:r>
        <w:rPr>
          <w:color w:val="000000" w:themeColor="text1"/>
        </w:rPr>
        <w:t xml:space="preserve"> of</w:t>
      </w:r>
      <w:r w:rsidRPr="004C7FE3">
        <w:rPr>
          <w:color w:val="000000" w:themeColor="text1"/>
        </w:rPr>
        <w:t xml:space="preserve"> game theory with empirical observations of the timing of </w:t>
      </w:r>
      <w:r w:rsidRPr="00DA1A21">
        <w:rPr>
          <w:color w:val="000000" w:themeColor="text1"/>
        </w:rPr>
        <w:t xml:space="preserve">negotiation agreements, by corroborating the fact that most civil </w:t>
      </w:r>
      <w:r w:rsidRPr="008F7A8E">
        <w:rPr>
          <w:color w:val="000000" w:themeColor="text1"/>
        </w:rPr>
        <w:t xml:space="preserve">disputes settle (Bebchuk and Guzman, 1996; Birke and Fox, 1999; </w:t>
      </w:r>
      <w:r w:rsidRPr="00CF4271">
        <w:rPr>
          <w:color w:val="000000" w:themeColor="text1"/>
        </w:rPr>
        <w:t xml:space="preserve">Langton and Cohen, 2008; </w:t>
      </w:r>
      <w:r w:rsidRPr="00C97FAF">
        <w:rPr>
          <w:color w:val="000000" w:themeColor="text1"/>
        </w:rPr>
        <w:t>Wistrich and Rachlinski, 2013). However</w:t>
      </w:r>
      <w:r w:rsidRPr="004C7FE3">
        <w:rPr>
          <w:color w:val="000000" w:themeColor="text1"/>
        </w:rPr>
        <w:t>, these are predicted to systematically deviate from the integrative and</w:t>
      </w:r>
      <w:r>
        <w:rPr>
          <w:color w:val="000000" w:themeColor="text1"/>
        </w:rPr>
        <w:t xml:space="preserve"> client</w:t>
      </w:r>
      <w:r w:rsidRPr="004C7FE3">
        <w:rPr>
          <w:color w:val="000000" w:themeColor="text1"/>
        </w:rPr>
        <w:t xml:space="preserve">-welfare maximising outcome. </w:t>
      </w:r>
      <w:r w:rsidR="00BF3069">
        <w:rPr>
          <w:color w:val="000000" w:themeColor="text1"/>
        </w:rPr>
        <w:t xml:space="preserve">In this way, this paper also addresses </w:t>
      </w:r>
      <w:r w:rsidR="00BF3069" w:rsidRPr="008F7A8E">
        <w:rPr>
          <w:color w:val="000000" w:themeColor="text1"/>
        </w:rPr>
        <w:t>Bazerman et al., (1992) call</w:t>
      </w:r>
      <w:r w:rsidR="00BF3069">
        <w:rPr>
          <w:color w:val="000000" w:themeColor="text1"/>
        </w:rPr>
        <w:t xml:space="preserve"> for future research on the impact of third-parties on the ‘integrativeness’ of agreements. The model’s predictions are </w:t>
      </w:r>
      <w:r w:rsidRPr="004C7FE3">
        <w:rPr>
          <w:color w:val="000000" w:themeColor="text1"/>
        </w:rPr>
        <w:t>consistent with the significant number of lengthy, expensive and resource-straining settlement</w:t>
      </w:r>
      <w:r>
        <w:rPr>
          <w:color w:val="000000" w:themeColor="text1"/>
        </w:rPr>
        <w:t xml:space="preserve"> delays </w:t>
      </w:r>
      <w:r w:rsidRPr="001E3159">
        <w:rPr>
          <w:color w:val="000000" w:themeColor="text1"/>
        </w:rPr>
        <w:t xml:space="preserve">observed in practice </w:t>
      </w:r>
      <w:r w:rsidRPr="00C97FAF">
        <w:rPr>
          <w:color w:val="000000" w:themeColor="text1"/>
        </w:rPr>
        <w:t>(Sullivan, 2016). It</w:t>
      </w:r>
      <w:r>
        <w:rPr>
          <w:color w:val="000000" w:themeColor="text1"/>
        </w:rPr>
        <w:t xml:space="preserve"> is further consistent with data indicating that divorces are prolonged when spouses are </w:t>
      </w:r>
      <w:r w:rsidRPr="00DA2021">
        <w:rPr>
          <w:color w:val="000000" w:themeColor="text1"/>
        </w:rPr>
        <w:t>represented (</w:t>
      </w:r>
      <w:r w:rsidRPr="00D17A4F">
        <w:rPr>
          <w:color w:val="000000" w:themeColor="text1"/>
        </w:rPr>
        <w:t>Halla, 2007; McMullen and Oswald, 2010; Ministry of Justice, 2021).</w:t>
      </w:r>
      <w:r w:rsidRPr="00D17A4F">
        <w:rPr>
          <w:rStyle w:val="FootnoteReference"/>
          <w:color w:val="000000" w:themeColor="text1"/>
        </w:rPr>
        <w:footnoteReference w:id="42"/>
      </w:r>
      <w:r w:rsidRPr="00D17A4F">
        <w:rPr>
          <w:color w:val="000000" w:themeColor="text1"/>
        </w:rPr>
        <w:t xml:space="preserve"> Accordingly</w:t>
      </w:r>
      <w:r w:rsidR="00BF3069">
        <w:rPr>
          <w:color w:val="000000" w:themeColor="text1"/>
        </w:rPr>
        <w:t>, this paper</w:t>
      </w:r>
      <w:r>
        <w:rPr>
          <w:b/>
          <w:color w:val="000000" w:themeColor="text1"/>
        </w:rPr>
        <w:t xml:space="preserve"> </w:t>
      </w:r>
      <w:r>
        <w:rPr>
          <w:color w:val="000000" w:themeColor="text1"/>
        </w:rPr>
        <w:t xml:space="preserve">supports the notion that agency might induce settlement impediment, as a product of the lawyer’s greed, despite potential </w:t>
      </w:r>
      <w:r w:rsidRPr="00B07B0C">
        <w:rPr>
          <w:color w:val="000000" w:themeColor="text1"/>
        </w:rPr>
        <w:t xml:space="preserve">reputational damage </w:t>
      </w:r>
      <w:r w:rsidRPr="00C97FAF">
        <w:rPr>
          <w:color w:val="000000" w:themeColor="text1"/>
        </w:rPr>
        <w:t>(Rhode, 1985; Wistrich and Rachlinski, 2013). In this</w:t>
      </w:r>
      <w:r w:rsidRPr="00B07B0C">
        <w:rPr>
          <w:color w:val="000000" w:themeColor="text1"/>
        </w:rPr>
        <w:t xml:space="preserve"> way, analysis serves as a critique of </w:t>
      </w:r>
      <w:r w:rsidRPr="00DA2021">
        <w:rPr>
          <w:color w:val="000000" w:themeColor="text1"/>
        </w:rPr>
        <w:t>Gilson and Mnookin (1994) and</w:t>
      </w:r>
      <w:r w:rsidRPr="004C7FE3">
        <w:rPr>
          <w:color w:val="000000" w:themeColor="text1"/>
        </w:rPr>
        <w:t xml:space="preserve"> instead</w:t>
      </w:r>
      <w:r>
        <w:rPr>
          <w:color w:val="000000" w:themeColor="text1"/>
        </w:rPr>
        <w:t>, underlines the</w:t>
      </w:r>
      <w:r w:rsidRPr="004C7FE3">
        <w:rPr>
          <w:color w:val="000000" w:themeColor="text1"/>
        </w:rPr>
        <w:t xml:space="preserve"> welfare implications of unrestrained agency</w:t>
      </w:r>
      <w:r>
        <w:rPr>
          <w:color w:val="000000" w:themeColor="text1"/>
        </w:rPr>
        <w:t xml:space="preserve"> in divorce-bargaining. </w:t>
      </w:r>
    </w:p>
    <w:p w14:paraId="4438D7D2" w14:textId="77777777" w:rsidR="00EE0446" w:rsidRDefault="00EE0446" w:rsidP="00EE0446">
      <w:pPr>
        <w:spacing w:line="360" w:lineRule="auto"/>
        <w:rPr>
          <w:color w:val="000000" w:themeColor="text1"/>
        </w:rPr>
      </w:pPr>
    </w:p>
    <w:p w14:paraId="5E3573EA" w14:textId="61B7F8E3" w:rsidR="00221366" w:rsidRDefault="00EE0446" w:rsidP="00EE0446">
      <w:pPr>
        <w:spacing w:line="360" w:lineRule="auto"/>
        <w:rPr>
          <w:color w:val="000000" w:themeColor="text1"/>
        </w:rPr>
      </w:pPr>
      <w:r w:rsidRPr="006057CE">
        <w:rPr>
          <w:color w:val="000000" w:themeColor="text1"/>
        </w:rPr>
        <w:t xml:space="preserve">The </w:t>
      </w:r>
      <w:r w:rsidR="00F64DEB">
        <w:rPr>
          <w:color w:val="000000" w:themeColor="text1"/>
        </w:rPr>
        <w:t>first main theoretical implication</w:t>
      </w:r>
      <w:r w:rsidRPr="006057CE">
        <w:rPr>
          <w:color w:val="000000" w:themeColor="text1"/>
        </w:rPr>
        <w:t xml:space="preserve"> of this paper </w:t>
      </w:r>
      <w:r w:rsidR="00F64DEB">
        <w:rPr>
          <w:color w:val="000000" w:themeColor="text1"/>
        </w:rPr>
        <w:t>is the proposition that situational factors may suppress a divorce-l</w:t>
      </w:r>
      <w:r w:rsidR="00A6789D">
        <w:rPr>
          <w:color w:val="000000" w:themeColor="text1"/>
        </w:rPr>
        <w:t xml:space="preserve">awyer’s reputational incentives and thus, reputational costs may not sufficiently deter opportunistic behaviour. </w:t>
      </w:r>
      <w:r w:rsidR="00F64DEB">
        <w:rPr>
          <w:color w:val="000000" w:themeColor="text1"/>
        </w:rPr>
        <w:t>Indeed,</w:t>
      </w:r>
      <w:r w:rsidR="009C46C3">
        <w:rPr>
          <w:color w:val="000000" w:themeColor="text1"/>
        </w:rPr>
        <w:t xml:space="preserve"> situational factors, that affect the level of</w:t>
      </w:r>
      <w:r w:rsidRPr="004C7FE3">
        <w:rPr>
          <w:color w:val="000000" w:themeColor="text1"/>
        </w:rPr>
        <w:t xml:space="preserve"> publicity/awarenes</w:t>
      </w:r>
      <w:r>
        <w:rPr>
          <w:color w:val="000000" w:themeColor="text1"/>
        </w:rPr>
        <w:t xml:space="preserve">s, need to be accounted for, as these may suppress reputational incentives and prevent client welfare maximisation. </w:t>
      </w:r>
      <w:r w:rsidRPr="004C7FE3">
        <w:rPr>
          <w:color w:val="000000" w:themeColor="text1"/>
        </w:rPr>
        <w:t>Indeed, if settle</w:t>
      </w:r>
      <w:r w:rsidR="009C46C3">
        <w:rPr>
          <w:color w:val="000000" w:themeColor="text1"/>
        </w:rPr>
        <w:t>ments are private in</w:t>
      </w:r>
      <w:r>
        <w:rPr>
          <w:color w:val="000000" w:themeColor="text1"/>
        </w:rPr>
        <w:t xml:space="preserve"> nature, settlement delays may not meaningfully damage a lawyer’s reputation, if no single client is able to sufficiently penalise their lawyer. The likely minimal reputational repercussions</w:t>
      </w:r>
      <w:r>
        <w:rPr>
          <w:rStyle w:val="FootnoteReference"/>
          <w:color w:val="000000" w:themeColor="text1"/>
        </w:rPr>
        <w:footnoteReference w:id="43"/>
      </w:r>
      <w:r>
        <w:rPr>
          <w:color w:val="000000" w:themeColor="text1"/>
        </w:rPr>
        <w:t xml:space="preserve">, relative to available monetary rewards, may </w:t>
      </w:r>
      <w:r w:rsidR="00221366">
        <w:rPr>
          <w:color w:val="000000" w:themeColor="text1"/>
        </w:rPr>
        <w:t>induce a lawyer to behave opportunistically.</w:t>
      </w:r>
    </w:p>
    <w:p w14:paraId="53BC77B1" w14:textId="6F442222" w:rsidR="00EE0446" w:rsidRDefault="00EE0446" w:rsidP="00EE0446">
      <w:pPr>
        <w:spacing w:line="360" w:lineRule="auto"/>
        <w:rPr>
          <w:color w:val="000000" w:themeColor="text1"/>
        </w:rPr>
      </w:pPr>
      <w:r>
        <w:rPr>
          <w:color w:val="000000" w:themeColor="text1"/>
        </w:rPr>
        <w:t xml:space="preserve">Incentives to behave opportunistically may be exacerbated if the clients play a one-shot game and/or are not capable of signalling a lawyer’s quality to any peer. </w:t>
      </w:r>
      <w:r w:rsidRPr="004C7FE3">
        <w:rPr>
          <w:color w:val="000000" w:themeColor="text1"/>
        </w:rPr>
        <w:t>Additionally, asymmetric information may create significant uncertainty</w:t>
      </w:r>
      <w:r>
        <w:rPr>
          <w:color w:val="000000" w:themeColor="text1"/>
        </w:rPr>
        <w:t xml:space="preserve"> in a client’s assessment of their lawyer’s fault,</w:t>
      </w:r>
      <w:r w:rsidRPr="004C7FE3">
        <w:rPr>
          <w:rStyle w:val="FootnoteReference"/>
          <w:color w:val="000000" w:themeColor="text1"/>
        </w:rPr>
        <w:footnoteReference w:id="44"/>
      </w:r>
      <w:r>
        <w:rPr>
          <w:color w:val="000000" w:themeColor="text1"/>
        </w:rPr>
        <w:t xml:space="preserve"> which might reduce the client’s willingness to punish their lawyer. Either way, </w:t>
      </w:r>
      <w:r w:rsidR="00A6789D">
        <w:rPr>
          <w:color w:val="000000" w:themeColor="text1"/>
        </w:rPr>
        <w:t>this may</w:t>
      </w:r>
      <w:r w:rsidRPr="004C7FE3">
        <w:rPr>
          <w:color w:val="000000" w:themeColor="text1"/>
        </w:rPr>
        <w:t xml:space="preserve"> contribute to the ‘courthouse steps’ phenomenon as lawyers may find it rational to impede settlements, when publicity/awareness is low, yet choose to avoid the embarrassment of extreme </w:t>
      </w:r>
      <w:r w:rsidRPr="00C97FAF">
        <w:rPr>
          <w:color w:val="000000" w:themeColor="text1"/>
        </w:rPr>
        <w:t>outcomes at trials (P’ng, 1983; Mnookin, 1993), when</w:t>
      </w:r>
      <w:r w:rsidRPr="004C7FE3">
        <w:rPr>
          <w:color w:val="000000" w:themeColor="text1"/>
        </w:rPr>
        <w:t xml:space="preserve"> publicity/awareness is high. </w:t>
      </w:r>
      <w:r w:rsidR="00F64DEB">
        <w:rPr>
          <w:color w:val="000000" w:themeColor="text1"/>
        </w:rPr>
        <w:t>The second main theoretical implication of this paper is the proposition that a</w:t>
      </w:r>
      <w:r>
        <w:rPr>
          <w:color w:val="000000" w:themeColor="text1"/>
        </w:rPr>
        <w:t xml:space="preserve"> lawyer’s reputational capital may be a noisy signal of interest-alignment. Indeed recall, that in real-life, unsophisticated clients may only be made cognizant of, and place a premium on, relative outcomes. Accordingly, clients may fail to appreciate a lawyer’s intentions, the risk accepted on their behalf and even the value of integrative agreements when evaluating their lawyer’s performance ex-post. </w:t>
      </w:r>
      <w:r w:rsidR="006F7A28">
        <w:rPr>
          <w:color w:val="000000" w:themeColor="text1"/>
        </w:rPr>
        <w:t xml:space="preserve">For example, a spouse who has been awarded a favourable result at trial may evaluate their lawyer’s performance more favourably than a spouse who has secured an (equitable) integrative agreement. </w:t>
      </w:r>
      <w:r>
        <w:rPr>
          <w:color w:val="000000" w:themeColor="text1"/>
        </w:rPr>
        <w:t xml:space="preserve">The same spouse may not appreciate the uncertainties associated with court </w:t>
      </w:r>
      <w:r w:rsidRPr="005E0992">
        <w:rPr>
          <w:color w:val="000000" w:themeColor="text1"/>
        </w:rPr>
        <w:t>outcomes (Mnookin and Kornhauser, 1979) and</w:t>
      </w:r>
      <w:r>
        <w:rPr>
          <w:color w:val="000000" w:themeColor="text1"/>
        </w:rPr>
        <w:t xml:space="preserve"> thus, how pursuing a trial was not in their best interest in the first place. </w:t>
      </w:r>
      <w:r w:rsidRPr="007B2CB8">
        <w:rPr>
          <w:color w:val="000000" w:themeColor="text1"/>
        </w:rPr>
        <w:t>This echoes Alchian (1950) in</w:t>
      </w:r>
      <w:r>
        <w:rPr>
          <w:color w:val="000000" w:themeColor="text1"/>
        </w:rPr>
        <w:t xml:space="preserve"> that results, rather than motivations or intentions may shape a lawyer’s reputational capital and determine evolutionary success in the legal market. The assumption that reputational capital is the product of relative outcomes, as opposed to </w:t>
      </w:r>
      <w:r w:rsidR="00D57108">
        <w:rPr>
          <w:color w:val="000000" w:themeColor="text1"/>
        </w:rPr>
        <w:t xml:space="preserve">motivations and </w:t>
      </w:r>
      <w:r>
        <w:rPr>
          <w:color w:val="000000" w:themeColor="text1"/>
        </w:rPr>
        <w:t xml:space="preserve">intentions, may explain some aspects of the evolution of the market for divorce-law. </w:t>
      </w:r>
    </w:p>
    <w:p w14:paraId="0048AA6E" w14:textId="77777777" w:rsidR="00EE0446" w:rsidRDefault="00EE0446" w:rsidP="00EE0446">
      <w:pPr>
        <w:spacing w:line="360" w:lineRule="auto"/>
        <w:rPr>
          <w:color w:val="000000" w:themeColor="text1"/>
        </w:rPr>
      </w:pPr>
    </w:p>
    <w:p w14:paraId="7EBEEB5D" w14:textId="56AA9C9C" w:rsidR="00EE0446" w:rsidRPr="0010197F" w:rsidRDefault="00EE0446" w:rsidP="00EE0446">
      <w:pPr>
        <w:spacing w:line="360" w:lineRule="auto"/>
        <w:rPr>
          <w:color w:val="000000" w:themeColor="text1"/>
        </w:rPr>
      </w:pPr>
      <w:r>
        <w:rPr>
          <w:color w:val="000000" w:themeColor="text1"/>
        </w:rPr>
        <w:t>The typical lawyer was assumed to be risk-averse, yet in the real-world, the population of lawyers will vary in confidence and optimism, shaping their risk-perception and risk-behaviour. A portion of risk-seeking lawyers may thus be more willing to pursue trials than their risk-averse counterparts.</w:t>
      </w:r>
      <w:r>
        <w:rPr>
          <w:rStyle w:val="FootnoteReference"/>
          <w:color w:val="000000" w:themeColor="text1"/>
        </w:rPr>
        <w:footnoteReference w:id="45"/>
      </w:r>
      <w:r>
        <w:rPr>
          <w:color w:val="000000" w:themeColor="text1"/>
        </w:rPr>
        <w:t xml:space="preserve"> Despite </w:t>
      </w:r>
      <w:r w:rsidR="006F7A28">
        <w:rPr>
          <w:color w:val="000000" w:themeColor="text1"/>
        </w:rPr>
        <w:t xml:space="preserve">potentially </w:t>
      </w:r>
      <w:r>
        <w:rPr>
          <w:color w:val="000000" w:themeColor="text1"/>
        </w:rPr>
        <w:t xml:space="preserve">acting against their client’s best interests, the fallacy of legal reputations may provide short-run risk-seeking lawyers with an evolutionary advantage. Indeed, </w:t>
      </w:r>
      <w:r w:rsidR="006F7A28">
        <w:rPr>
          <w:color w:val="000000" w:themeColor="text1"/>
        </w:rPr>
        <w:t>success at</w:t>
      </w:r>
      <w:r>
        <w:rPr>
          <w:color w:val="000000" w:themeColor="text1"/>
        </w:rPr>
        <w:t xml:space="preserve"> trial is proposed to result in a substantial, long-run, market advantage for three main reasons. Firstly, if clients place a premium on relative outcomes; the successful lawyer will enhance their reputational capital, relative to their peers. The associated monetary benefits will increase their ability to invest more in costly effort, indicating that they are more likely to prevail in future trials as well. </w:t>
      </w:r>
      <w:r w:rsidRPr="006057CE">
        <w:rPr>
          <w:color w:val="000000" w:themeColor="text1"/>
        </w:rPr>
        <w:t>Secondly, a lawyer’s favourable reputation may act as a credible threat towards rivals who may be less inclined to contest the historically successful lawyer at court.</w:t>
      </w:r>
      <w:r>
        <w:rPr>
          <w:rStyle w:val="FootnoteReference"/>
          <w:color w:val="000000" w:themeColor="text1"/>
        </w:rPr>
        <w:footnoteReference w:id="46"/>
      </w:r>
      <w:r w:rsidRPr="006057CE">
        <w:rPr>
          <w:color w:val="000000" w:themeColor="text1"/>
        </w:rPr>
        <w:t xml:space="preserve"> This suggests that former trial-winners are likely to preserve their reputation in the long-run by maintaining their success rate at trial. Finally, </w:t>
      </w:r>
      <w:r w:rsidR="004839F9">
        <w:rPr>
          <w:color w:val="000000" w:themeColor="text1"/>
        </w:rPr>
        <w:t>the successful lawyer’s</w:t>
      </w:r>
      <w:r w:rsidRPr="006057CE">
        <w:rPr>
          <w:color w:val="000000" w:themeColor="text1"/>
        </w:rPr>
        <w:t xml:space="preserve"> reputation may act as a signal of a lawyer’s high risk-propensity and optimism. Aligned with models that </w:t>
      </w:r>
      <w:r>
        <w:rPr>
          <w:color w:val="000000" w:themeColor="text1"/>
        </w:rPr>
        <w:t>relax the common knowledge of rationality,</w:t>
      </w:r>
      <w:r>
        <w:rPr>
          <w:rStyle w:val="FootnoteReference"/>
          <w:color w:val="000000" w:themeColor="text1"/>
        </w:rPr>
        <w:footnoteReference w:id="47"/>
      </w:r>
      <w:r>
        <w:rPr>
          <w:color w:val="000000" w:themeColor="text1"/>
        </w:rPr>
        <w:t xml:space="preserve"> </w:t>
      </w:r>
      <w:r w:rsidRPr="006057CE">
        <w:rPr>
          <w:color w:val="000000" w:themeColor="text1"/>
        </w:rPr>
        <w:t>if such risk-seeking lawyers are more likely to pass during the settlement phase, then the otherwise more risk-averse lawyers</w:t>
      </w:r>
      <w:r w:rsidR="0010197F">
        <w:rPr>
          <w:color w:val="000000" w:themeColor="text1"/>
        </w:rPr>
        <w:t xml:space="preserve"> may find it rational to mimic a risk-seeking lawyer when bargaining against the former to secure substantial monetary gains. </w:t>
      </w:r>
      <w:r w:rsidRPr="0067021F">
        <w:rPr>
          <w:rFonts w:eastAsiaTheme="minorEastAsia"/>
          <w:color w:val="000000" w:themeColor="text1"/>
          <w:shd w:val="clear" w:color="auto" w:fill="FFFFFF"/>
        </w:rPr>
        <w:t xml:space="preserve">In this way, despite salient reputational repercussions; imperfect information associated with a lawyer’s risk-propensity </w:t>
      </w:r>
      <w:r w:rsidR="0010197F">
        <w:rPr>
          <w:rFonts w:eastAsiaTheme="minorEastAsia"/>
          <w:color w:val="000000" w:themeColor="text1"/>
          <w:shd w:val="clear" w:color="auto" w:fill="FFFFFF"/>
        </w:rPr>
        <w:t>may</w:t>
      </w:r>
      <w:r w:rsidRPr="0067021F">
        <w:rPr>
          <w:rFonts w:eastAsiaTheme="minorEastAsia"/>
          <w:color w:val="000000" w:themeColor="text1"/>
          <w:shd w:val="clear" w:color="auto" w:fill="FFFFFF"/>
        </w:rPr>
        <w:t xml:space="preserve"> result in overinvestment</w:t>
      </w:r>
      <w:r w:rsidR="0010197F">
        <w:rPr>
          <w:rFonts w:eastAsiaTheme="minorEastAsia"/>
          <w:color w:val="000000" w:themeColor="text1"/>
          <w:shd w:val="clear" w:color="auto" w:fill="FFFFFF"/>
        </w:rPr>
        <w:t xml:space="preserve">. </w:t>
      </w:r>
    </w:p>
    <w:p w14:paraId="7D5851D5" w14:textId="77777777" w:rsidR="00EE0446" w:rsidRDefault="00EE0446" w:rsidP="00EE0446">
      <w:pPr>
        <w:spacing w:line="360" w:lineRule="auto"/>
        <w:rPr>
          <w:rFonts w:eastAsiaTheme="minorEastAsia"/>
          <w:color w:val="FF0000"/>
          <w:shd w:val="clear" w:color="auto" w:fill="FFFFFF"/>
        </w:rPr>
      </w:pPr>
    </w:p>
    <w:p w14:paraId="53E05B03" w14:textId="30EDC6B1" w:rsidR="0010197F" w:rsidRPr="0010197F" w:rsidRDefault="00EE0446" w:rsidP="00EE0446">
      <w:pPr>
        <w:spacing w:line="360" w:lineRule="auto"/>
        <w:rPr>
          <w:color w:val="000000" w:themeColor="text1"/>
        </w:rPr>
      </w:pPr>
      <w:r>
        <w:rPr>
          <w:color w:val="000000" w:themeColor="text1"/>
        </w:rPr>
        <w:t xml:space="preserve">Trials are indeed risky, however, risk-averse lawyers who evade trials may fail to secure sufficient reputational capital in the long-run, relative to their risk-seeking counterparts, and thus, be forced to eventually exit the market. </w:t>
      </w:r>
      <w:r>
        <w:rPr>
          <w:rFonts w:eastAsiaTheme="minorEastAsia"/>
          <w:color w:val="000000" w:themeColor="text1"/>
          <w:shd w:val="clear" w:color="auto" w:fill="FFFFFF"/>
        </w:rPr>
        <w:t xml:space="preserve">In this way, long-run survival in the legal market may necessitate short-run risk-seeking behaviour, which in practice, may consist of actions that are not necessarily in their client’s, or society’s </w:t>
      </w:r>
      <w:r w:rsidRPr="006057CE">
        <w:rPr>
          <w:color w:val="000000" w:themeColor="text1"/>
        </w:rPr>
        <w:t>best interests.</w:t>
      </w:r>
      <w:r w:rsidRPr="006057CE">
        <w:rPr>
          <w:rStyle w:val="FootnoteReference"/>
          <w:color w:val="000000" w:themeColor="text1"/>
          <w:shd w:val="clear" w:color="auto" w:fill="FFFFFF"/>
        </w:rPr>
        <w:footnoteReference w:id="48"/>
      </w:r>
      <w:r>
        <w:rPr>
          <w:rFonts w:eastAsiaTheme="minorEastAsia"/>
          <w:color w:val="000000" w:themeColor="text1"/>
          <w:shd w:val="clear" w:color="auto" w:fill="FFFFFF"/>
        </w:rPr>
        <w:t xml:space="preserve"> Contradictorily, rather than facilitate interest-alignment,</w:t>
      </w:r>
      <w:r w:rsidR="0010197F">
        <w:rPr>
          <w:rFonts w:eastAsiaTheme="minorEastAsia"/>
          <w:color w:val="000000" w:themeColor="text1"/>
          <w:shd w:val="clear" w:color="auto" w:fill="FFFFFF"/>
        </w:rPr>
        <w:t xml:space="preserve"> the fallacious</w:t>
      </w:r>
      <w:r>
        <w:rPr>
          <w:rFonts w:eastAsiaTheme="minorEastAsia"/>
          <w:color w:val="000000" w:themeColor="text1"/>
          <w:shd w:val="clear" w:color="auto" w:fill="FFFFFF"/>
        </w:rPr>
        <w:t xml:space="preserve"> </w:t>
      </w:r>
      <w:r w:rsidR="0010197F">
        <w:rPr>
          <w:rFonts w:eastAsiaTheme="minorEastAsia"/>
          <w:color w:val="000000" w:themeColor="text1"/>
          <w:shd w:val="clear" w:color="auto" w:fill="FFFFFF"/>
        </w:rPr>
        <w:t xml:space="preserve">nature of </w:t>
      </w:r>
      <w:r w:rsidR="002C648A">
        <w:rPr>
          <w:rFonts w:eastAsiaTheme="minorEastAsia"/>
          <w:color w:val="000000" w:themeColor="text1"/>
          <w:shd w:val="clear" w:color="auto" w:fill="FFFFFF"/>
        </w:rPr>
        <w:t xml:space="preserve">reputational capital in the </w:t>
      </w:r>
      <w:r w:rsidR="0010197F">
        <w:rPr>
          <w:rFonts w:eastAsiaTheme="minorEastAsia"/>
          <w:color w:val="000000" w:themeColor="text1"/>
          <w:shd w:val="clear" w:color="auto" w:fill="FFFFFF"/>
        </w:rPr>
        <w:t xml:space="preserve">divorce </w:t>
      </w:r>
      <w:r w:rsidR="002C648A">
        <w:rPr>
          <w:rFonts w:eastAsiaTheme="minorEastAsia"/>
          <w:color w:val="000000" w:themeColor="text1"/>
          <w:shd w:val="clear" w:color="auto" w:fill="FFFFFF"/>
        </w:rPr>
        <w:t>domain</w:t>
      </w:r>
      <w:r>
        <w:rPr>
          <w:rFonts w:eastAsiaTheme="minorEastAsia"/>
          <w:color w:val="000000" w:themeColor="text1"/>
          <w:shd w:val="clear" w:color="auto" w:fill="FFFFFF"/>
        </w:rPr>
        <w:t xml:space="preserve"> may facilitate the evolutionary advantage of risk-seeking and overly optimistic lawyers. </w:t>
      </w:r>
      <w:r w:rsidR="0010197F" w:rsidRPr="006057CE">
        <w:rPr>
          <w:color w:val="000000" w:themeColor="text1"/>
        </w:rPr>
        <w:t>This may explain the growth in adversarial lawyers as a percent</w:t>
      </w:r>
      <w:r w:rsidR="0010197F">
        <w:rPr>
          <w:color w:val="000000" w:themeColor="text1"/>
        </w:rPr>
        <w:t xml:space="preserve">age of the bar overtime and may partially account for the fact that </w:t>
      </w:r>
      <w:r w:rsidR="0010197F" w:rsidRPr="006057CE">
        <w:rPr>
          <w:color w:val="000000" w:themeColor="text1"/>
        </w:rPr>
        <w:t>family</w:t>
      </w:r>
      <w:r w:rsidR="0010197F">
        <w:rPr>
          <w:color w:val="000000" w:themeColor="text1"/>
        </w:rPr>
        <w:t>/divorce</w:t>
      </w:r>
      <w:r w:rsidR="0010197F" w:rsidRPr="006057CE">
        <w:rPr>
          <w:color w:val="000000" w:themeColor="text1"/>
        </w:rPr>
        <w:t xml:space="preserve"> law was </w:t>
      </w:r>
      <w:r w:rsidR="0010197F" w:rsidRPr="00481418">
        <w:rPr>
          <w:color w:val="000000" w:themeColor="text1"/>
        </w:rPr>
        <w:t>recorded to have the highest percentage of unethically adversarial lawyers (Schneider and Mills, 2006)</w:t>
      </w:r>
      <w:r w:rsidR="0010197F">
        <w:rPr>
          <w:color w:val="000000" w:themeColor="text1"/>
        </w:rPr>
        <w:t>.</w:t>
      </w:r>
      <w:r w:rsidR="0010197F">
        <w:rPr>
          <w:rStyle w:val="FootnoteReference"/>
          <w:color w:val="000000" w:themeColor="text1"/>
        </w:rPr>
        <w:footnoteReference w:id="49"/>
      </w:r>
      <w:r w:rsidR="0010197F" w:rsidRPr="006057CE">
        <w:rPr>
          <w:color w:val="000000" w:themeColor="text1"/>
        </w:rPr>
        <w:t xml:space="preserve"> It may also explain the systematic optimism-bias </w:t>
      </w:r>
      <w:r w:rsidR="0010197F" w:rsidRPr="002B2684">
        <w:rPr>
          <w:color w:val="000000" w:themeColor="text1"/>
        </w:rPr>
        <w:t>(Bibas, 2004; Bar</w:t>
      </w:r>
      <w:r w:rsidR="0010197F" w:rsidRPr="009B2089">
        <w:rPr>
          <w:color w:val="000000" w:themeColor="text1"/>
        </w:rPr>
        <w:t>-</w:t>
      </w:r>
      <w:r w:rsidR="0010197F" w:rsidRPr="00580479">
        <w:rPr>
          <w:color w:val="000000" w:themeColor="text1"/>
        </w:rPr>
        <w:t xml:space="preserve">Gill, 2005; </w:t>
      </w:r>
      <w:r w:rsidR="0010197F">
        <w:rPr>
          <w:color w:val="000000" w:themeColor="text1"/>
        </w:rPr>
        <w:t xml:space="preserve">Goodman-Delahunty et al., 2010) and overconfidence (Birke and Fox, 1999) </w:t>
      </w:r>
      <w:r w:rsidR="0010197F" w:rsidRPr="006057CE">
        <w:rPr>
          <w:color w:val="000000" w:themeColor="text1"/>
        </w:rPr>
        <w:t xml:space="preserve">prevalent in the legal profession at </w:t>
      </w:r>
      <w:r w:rsidR="0010197F" w:rsidRPr="002B2684">
        <w:rPr>
          <w:color w:val="000000" w:themeColor="text1"/>
        </w:rPr>
        <w:t>large</w:t>
      </w:r>
      <w:r w:rsidR="0010197F">
        <w:rPr>
          <w:color w:val="000000" w:themeColor="text1"/>
        </w:rPr>
        <w:t xml:space="preserve">. Indeed, adversarial, optimistic and overconfident lawyers are argued those who were more likely to pursue trials in the short-run, supporting its evolutionary significance in the domain. </w:t>
      </w:r>
      <w:r w:rsidR="0010197F" w:rsidRPr="00580479">
        <w:rPr>
          <w:color w:val="000000" w:themeColor="text1"/>
        </w:rPr>
        <w:t>This</w:t>
      </w:r>
      <w:r w:rsidR="0010197F" w:rsidRPr="006057CE">
        <w:rPr>
          <w:color w:val="000000" w:themeColor="text1"/>
        </w:rPr>
        <w:t xml:space="preserve"> implication calls for the development and incorporation of solutions that can improve the ‘timing’ of settlements in divorce-bargaining, irrespective of th</w:t>
      </w:r>
      <w:r w:rsidR="0010197F">
        <w:rPr>
          <w:color w:val="000000" w:themeColor="text1"/>
        </w:rPr>
        <w:t xml:space="preserve">e client’s level of dependency, </w:t>
      </w:r>
      <w:r w:rsidR="0010197F">
        <w:rPr>
          <w:color w:val="000000" w:themeColor="text1"/>
        </w:rPr>
        <w:t xml:space="preserve">prevailing </w:t>
      </w:r>
      <w:r w:rsidR="0010197F">
        <w:rPr>
          <w:color w:val="000000" w:themeColor="text1"/>
        </w:rPr>
        <w:t>asymmetric information or misaligned incentives.</w:t>
      </w:r>
    </w:p>
    <w:p w14:paraId="32DCD97B" w14:textId="77777777" w:rsidR="00EE0446" w:rsidRPr="004C7FE3" w:rsidRDefault="00EE0446" w:rsidP="00EE0446">
      <w:pPr>
        <w:spacing w:line="360" w:lineRule="auto"/>
        <w:rPr>
          <w:color w:val="000000" w:themeColor="text1"/>
        </w:rPr>
      </w:pPr>
    </w:p>
    <w:p w14:paraId="5D900B04" w14:textId="2B7D9075" w:rsidR="00EE0446" w:rsidRPr="00CC2251" w:rsidRDefault="00EE0446" w:rsidP="00CC2251">
      <w:pPr>
        <w:pStyle w:val="ListParagraph"/>
        <w:numPr>
          <w:ilvl w:val="0"/>
          <w:numId w:val="1"/>
        </w:numPr>
        <w:spacing w:line="360" w:lineRule="auto"/>
        <w:rPr>
          <w:rFonts w:eastAsiaTheme="minorEastAsia"/>
          <w:b/>
          <w:shd w:val="clear" w:color="auto" w:fill="FFFFFF"/>
        </w:rPr>
      </w:pPr>
      <w:r w:rsidRPr="00CC2251">
        <w:rPr>
          <w:rFonts w:eastAsiaTheme="minorEastAsia"/>
          <w:b/>
          <w:shd w:val="clear" w:color="auto" w:fill="FFFFFF"/>
        </w:rPr>
        <w:t>Limitations</w:t>
      </w:r>
    </w:p>
    <w:p w14:paraId="2EEC32D3" w14:textId="77777777" w:rsidR="00F46408" w:rsidRDefault="00EE0446" w:rsidP="00EE0446">
      <w:pPr>
        <w:spacing w:line="360" w:lineRule="auto"/>
      </w:pPr>
      <w:r>
        <w:t xml:space="preserve">The model </w:t>
      </w:r>
      <w:r w:rsidRPr="004A0D50">
        <w:t xml:space="preserve">overlooks relevant parameters, </w:t>
      </w:r>
      <w:r>
        <w:t xml:space="preserve">including the lawyers’ </w:t>
      </w:r>
      <w:r w:rsidRPr="004A0D50">
        <w:t xml:space="preserve">skills, </w:t>
      </w:r>
      <w:r>
        <w:t xml:space="preserve">expertise and customer service as well as the clients’ potential differences in bearing transaction costs. Indeed, regarding the latter, spouses who can better bear </w:t>
      </w:r>
      <w:r w:rsidRPr="00442267">
        <w:t>financial and emotional costs will benefit from a negotiation advantage (Maccoby and Mnookin, 1992; Mnookin, 1985).</w:t>
      </w:r>
      <w:r>
        <w:t xml:space="preserve"> </w:t>
      </w:r>
    </w:p>
    <w:p w14:paraId="73CC59CE" w14:textId="30B427C6" w:rsidR="00D73662" w:rsidRPr="00D73662" w:rsidRDefault="00EE0446" w:rsidP="00EE0446">
      <w:pPr>
        <w:spacing w:line="360" w:lineRule="auto"/>
        <w:rPr>
          <w:rFonts w:eastAsiaTheme="minorEastAsia"/>
          <w:bCs/>
          <w:iCs/>
          <w:shd w:val="clear" w:color="auto" w:fill="FFFFFF"/>
        </w:rPr>
      </w:pPr>
      <w:r>
        <w:t xml:space="preserve">Regarding the former, factors </w:t>
      </w:r>
      <w:r w:rsidR="00043EEB">
        <w:t>not developed here, including</w:t>
      </w:r>
      <w:r>
        <w:t xml:space="preserve"> customer service</w:t>
      </w:r>
      <w:r w:rsidR="00043EEB">
        <w:t>,</w:t>
      </w:r>
      <w:r>
        <w:t xml:space="preserve"> may affect a lawyer’s reputational capital in real-life. For example, an emotionally attuned lawyer may curb reputational costs even in the event of a loss. Similarly, lawyers and clients may become well-acquainted in real-life, which may affect a lawyer’s other-regarding concerns, potentially curbing opportunism. Accordingly,</w:t>
      </w:r>
      <w:r>
        <w:rPr>
          <w:rFonts w:eastAsiaTheme="minorEastAsia"/>
          <w:bCs/>
          <w:iCs/>
          <w:shd w:val="clear" w:color="auto" w:fill="FFFFFF"/>
        </w:rPr>
        <w:t xml:space="preserve"> </w:t>
      </w:r>
      <m:oMath>
        <m:r>
          <m:rPr>
            <m:sty m:val="p"/>
          </m:rPr>
          <w:rPr>
            <w:rFonts w:ascii="Cambria Math" w:eastAsiaTheme="minorEastAsia" w:hAnsi="Cambria Math"/>
            <w:color w:val="000000" w:themeColor="text1"/>
          </w:rPr>
          <m:t>ε</m:t>
        </m:r>
      </m:oMath>
      <w:r>
        <w:rPr>
          <w:rFonts w:eastAsiaTheme="minorEastAsia"/>
          <w:color w:val="000000" w:themeColor="text1"/>
        </w:rPr>
        <w:t xml:space="preserve"> may not hold constant, but instead, update over the course of the game as the lawyer and client interact.</w:t>
      </w:r>
      <w:r>
        <w:t xml:space="preserve"> </w:t>
      </w:r>
      <w:r>
        <w:rPr>
          <w:rFonts w:eastAsiaTheme="minorEastAsia"/>
          <w:shd w:val="clear" w:color="auto" w:fill="FFFFFF"/>
        </w:rPr>
        <w:t>T</w:t>
      </w:r>
      <w:r w:rsidRPr="004C7FE3">
        <w:rPr>
          <w:rFonts w:eastAsiaTheme="minorEastAsia"/>
          <w:shd w:val="clear" w:color="auto" w:fill="FFFFFF"/>
        </w:rPr>
        <w:t xml:space="preserve">he </w:t>
      </w:r>
      <w:r w:rsidR="00B8729E">
        <w:rPr>
          <w:rFonts w:eastAsia="Times New Roman"/>
        </w:rPr>
        <w:t>IDBG</w:t>
      </w:r>
      <w:r w:rsidRPr="004C7FE3">
        <w:rPr>
          <w:rFonts w:eastAsiaTheme="minorEastAsia"/>
          <w:shd w:val="clear" w:color="auto" w:fill="FFFFFF"/>
        </w:rPr>
        <w:t xml:space="preserve"> may </w:t>
      </w:r>
      <w:r>
        <w:rPr>
          <w:rFonts w:eastAsiaTheme="minorEastAsia"/>
          <w:shd w:val="clear" w:color="auto" w:fill="FFFFFF"/>
        </w:rPr>
        <w:t xml:space="preserve">also </w:t>
      </w:r>
      <w:r w:rsidRPr="004C7FE3">
        <w:rPr>
          <w:rFonts w:eastAsiaTheme="minorEastAsia"/>
          <w:shd w:val="clear" w:color="auto" w:fill="FFFFFF"/>
        </w:rPr>
        <w:t xml:space="preserve">be limited in that the lawyer’s compensation methods are assumed to be common knowledge among practitioners. </w:t>
      </w:r>
      <w:r w:rsidR="00F46408">
        <w:rPr>
          <w:rFonts w:eastAsiaTheme="minorEastAsia"/>
          <w:shd w:val="clear" w:color="auto" w:fill="FFFFFF"/>
        </w:rPr>
        <w:t>However</w:t>
      </w:r>
      <w:r w:rsidRPr="004C7FE3">
        <w:rPr>
          <w:rFonts w:eastAsiaTheme="minorEastAsia"/>
          <w:shd w:val="clear" w:color="auto" w:fill="FFFFFF"/>
        </w:rPr>
        <w:t xml:space="preserve">, this assumption may hold in small local markets, wherein few players become </w:t>
      </w:r>
      <w:r w:rsidRPr="00DA2021">
        <w:rPr>
          <w:rFonts w:eastAsiaTheme="minorEastAsia"/>
          <w:shd w:val="clear" w:color="auto" w:fill="FFFFFF"/>
        </w:rPr>
        <w:t>well-acquainted through repeated interaction. This is consistent with Gilson and Mnookin (1994) who suggested</w:t>
      </w:r>
      <w:r w:rsidRPr="004C7FE3">
        <w:rPr>
          <w:rFonts w:eastAsiaTheme="minorEastAsia"/>
          <w:shd w:val="clear" w:color="auto" w:fill="FFFFFF"/>
        </w:rPr>
        <w:t xml:space="preserve"> that local specialists in family practice repeatedly deal with one another. The m</w:t>
      </w:r>
      <w:r w:rsidRPr="00442267">
        <w:rPr>
          <w:rFonts w:eastAsiaTheme="minorEastAsia"/>
          <w:shd w:val="clear" w:color="auto" w:fill="FFFFFF"/>
        </w:rPr>
        <w:t>odel may also overlook the fact that parties may have an incentive to lie about their underlying interests to solicit information</w:t>
      </w:r>
      <w:r w:rsidRPr="00442267">
        <w:rPr>
          <w:rFonts w:eastAsiaTheme="minorEastAsia"/>
          <w:bCs/>
          <w:iCs/>
          <w:shd w:val="clear" w:color="auto" w:fill="FFFFFF"/>
        </w:rPr>
        <w:t xml:space="preserve"> (Mnookin and Kornhauser, 1979; Mnookin, 1993)</w:t>
      </w:r>
      <w:r w:rsidR="00CC2251" w:rsidRPr="00442267">
        <w:rPr>
          <w:rFonts w:eastAsiaTheme="minorEastAsia"/>
          <w:bCs/>
          <w:iCs/>
          <w:shd w:val="clear" w:color="auto" w:fill="FFFFFF"/>
        </w:rPr>
        <w:t>.</w:t>
      </w:r>
      <w:r w:rsidRPr="00442267">
        <w:rPr>
          <w:rFonts w:eastAsiaTheme="minorEastAsia"/>
          <w:bCs/>
          <w:iCs/>
          <w:shd w:val="clear" w:color="auto" w:fill="FFFFFF"/>
        </w:rPr>
        <w:t xml:space="preserve"> </w:t>
      </w:r>
      <w:r w:rsidR="00F46408" w:rsidRPr="00481418">
        <w:rPr>
          <w:rFonts w:eastAsiaTheme="minorEastAsia"/>
          <w:bCs/>
          <w:iCs/>
          <w:shd w:val="clear" w:color="auto" w:fill="FFFFFF"/>
        </w:rPr>
        <w:t>Indeed, in real-life, parties will</w:t>
      </w:r>
      <w:r w:rsidR="00F46408" w:rsidRPr="004C7FE3">
        <w:rPr>
          <w:rFonts w:eastAsiaTheme="minorEastAsia"/>
          <w:bCs/>
          <w:iCs/>
          <w:shd w:val="clear" w:color="auto" w:fill="FFFFFF"/>
        </w:rPr>
        <w:t xml:space="preserve"> not know the other side’s true preferences </w:t>
      </w:r>
      <w:r w:rsidR="00F46408">
        <w:rPr>
          <w:rFonts w:eastAsiaTheme="minorEastAsia"/>
          <w:bCs/>
          <w:iCs/>
          <w:shd w:val="clear" w:color="auto" w:fill="FFFFFF"/>
        </w:rPr>
        <w:t xml:space="preserve">regarding distributive outcomes, their attitude towards risk and what the court outcome will be, with certainty, </w:t>
      </w:r>
      <w:r w:rsidR="00F46408" w:rsidRPr="004C7FE3">
        <w:rPr>
          <w:rFonts w:eastAsiaTheme="minorEastAsia"/>
          <w:bCs/>
          <w:iCs/>
          <w:shd w:val="clear" w:color="auto" w:fill="FFFFFF"/>
        </w:rPr>
        <w:t xml:space="preserve">which may create opportunities for strategic behaviour </w:t>
      </w:r>
      <w:r w:rsidR="00F46408">
        <w:rPr>
          <w:rFonts w:eastAsiaTheme="minorEastAsia"/>
          <w:bCs/>
          <w:iCs/>
          <w:shd w:val="clear" w:color="auto" w:fill="FFFFFF"/>
        </w:rPr>
        <w:t>(Mnookin, 1985; Maccoby and Mnookin, 1992).</w:t>
      </w:r>
      <w:r w:rsidR="00F46408">
        <w:rPr>
          <w:rFonts w:eastAsiaTheme="minorEastAsia"/>
          <w:bCs/>
          <w:iCs/>
          <w:shd w:val="clear" w:color="auto" w:fill="FFFFFF"/>
        </w:rPr>
        <w:t xml:space="preserve"> </w:t>
      </w:r>
      <w:r w:rsidR="00F46408">
        <w:rPr>
          <w:rFonts w:eastAsiaTheme="minorEastAsia"/>
          <w:bCs/>
          <w:iCs/>
          <w:shd w:val="clear" w:color="auto" w:fill="FFFFFF"/>
        </w:rPr>
        <w:t>Indeed, Maccoby and Mnookin (1992) find evidence to suggest the possibility of strategic behaviour, wherein parents exaggerate their custodial request, to potentially establish a bargaining chip.</w:t>
      </w:r>
      <w:r w:rsidR="00F46408">
        <w:rPr>
          <w:rStyle w:val="FootnoteReference"/>
          <w:rFonts w:eastAsiaTheme="minorEastAsia"/>
          <w:bCs/>
          <w:iCs/>
          <w:shd w:val="clear" w:color="auto" w:fill="FFFFFF"/>
        </w:rPr>
        <w:footnoteReference w:id="50"/>
      </w:r>
      <w:r w:rsidR="00F46408">
        <w:rPr>
          <w:rFonts w:eastAsiaTheme="minorEastAsia"/>
          <w:bCs/>
          <w:iCs/>
          <w:shd w:val="clear" w:color="auto" w:fill="FFFFFF"/>
        </w:rPr>
        <w:t xml:space="preserve"> </w:t>
      </w:r>
      <w:r>
        <w:rPr>
          <w:rFonts w:eastAsiaTheme="minorEastAsia"/>
          <w:bCs/>
          <w:iCs/>
          <w:shd w:val="clear" w:color="auto" w:fill="FFFFFF"/>
        </w:rPr>
        <w:t xml:space="preserve">Imperfect information will also apply </w:t>
      </w:r>
      <w:r w:rsidRPr="004C7FE3">
        <w:rPr>
          <w:rFonts w:eastAsiaTheme="minorEastAsia"/>
          <w:bCs/>
          <w:iCs/>
          <w:shd w:val="clear" w:color="auto" w:fill="FFFFFF"/>
        </w:rPr>
        <w:t>to th</w:t>
      </w:r>
      <w:r>
        <w:rPr>
          <w:rFonts w:eastAsiaTheme="minorEastAsia"/>
          <w:bCs/>
          <w:iCs/>
          <w:shd w:val="clear" w:color="auto" w:fill="FFFFFF"/>
        </w:rPr>
        <w:t xml:space="preserve">e principal-agent relationship in that </w:t>
      </w:r>
      <w:r w:rsidRPr="004C7FE3">
        <w:rPr>
          <w:rFonts w:eastAsiaTheme="minorEastAsia"/>
          <w:bCs/>
          <w:iCs/>
          <w:shd w:val="clear" w:color="auto" w:fill="FFFFFF"/>
        </w:rPr>
        <w:t xml:space="preserve">agents may not know </w:t>
      </w:r>
      <w:r w:rsidRPr="00442267">
        <w:rPr>
          <w:rFonts w:eastAsiaTheme="minorEastAsia"/>
          <w:bCs/>
          <w:iCs/>
          <w:shd w:val="clear" w:color="auto" w:fill="FFFFFF"/>
        </w:rPr>
        <w:t xml:space="preserve">their principal’s true preferences with certainty and the latter may possess unclear or multifaceted interests (Mnookin and </w:t>
      </w:r>
      <w:r w:rsidRPr="00C97FAF">
        <w:rPr>
          <w:rFonts w:eastAsiaTheme="minorEastAsia"/>
          <w:bCs/>
          <w:iCs/>
          <w:shd w:val="clear" w:color="auto" w:fill="FFFFFF"/>
        </w:rPr>
        <w:t>Susskind, 1999; Robbennolt, 2008).</w:t>
      </w:r>
      <w:r w:rsidRPr="004C7FE3">
        <w:rPr>
          <w:rFonts w:eastAsiaTheme="minorEastAsia"/>
          <w:bCs/>
          <w:iCs/>
          <w:shd w:val="clear" w:color="auto" w:fill="FFFFFF"/>
        </w:rPr>
        <w:t xml:space="preserve"> </w:t>
      </w:r>
      <w:r w:rsidRPr="004C7FE3">
        <w:rPr>
          <w:rFonts w:eastAsiaTheme="minorEastAsia"/>
          <w:bCs/>
          <w:iCs/>
          <w:color w:val="000000" w:themeColor="text1"/>
          <w:shd w:val="clear" w:color="auto" w:fill="FFFFFF"/>
        </w:rPr>
        <w:t>Finally</w:t>
      </w:r>
      <w:r w:rsidRPr="004C7FE3">
        <w:rPr>
          <w:rFonts w:eastAsiaTheme="minorEastAsia"/>
          <w:bCs/>
          <w:iCs/>
          <w:shd w:val="clear" w:color="auto" w:fill="FFFFFF"/>
        </w:rPr>
        <w:t xml:space="preserve">, for simplicity, </w:t>
      </w:r>
      <w:r>
        <w:rPr>
          <w:rFonts w:eastAsiaTheme="minorEastAsia"/>
          <w:bCs/>
          <w:iCs/>
          <w:shd w:val="clear" w:color="auto" w:fill="FFFFFF"/>
        </w:rPr>
        <w:t>divorce laws</w:t>
      </w:r>
      <w:r w:rsidRPr="004C7FE3">
        <w:rPr>
          <w:rFonts w:eastAsiaTheme="minorEastAsia"/>
          <w:bCs/>
          <w:iCs/>
          <w:shd w:val="clear" w:color="auto" w:fill="FFFFFF"/>
        </w:rPr>
        <w:t xml:space="preserve"> and their potential impact on divorce-bargaining agreements were not incorporated</w:t>
      </w:r>
      <w:r w:rsidR="00D73662">
        <w:rPr>
          <w:rFonts w:eastAsiaTheme="minorEastAsia"/>
          <w:bCs/>
          <w:iCs/>
          <w:shd w:val="clear" w:color="auto" w:fill="FFFFFF"/>
        </w:rPr>
        <w:t xml:space="preserve"> in the IDBG</w:t>
      </w:r>
      <w:r w:rsidRPr="00442267">
        <w:rPr>
          <w:rFonts w:eastAsiaTheme="minorEastAsia"/>
          <w:bCs/>
          <w:iCs/>
          <w:shd w:val="clear" w:color="auto" w:fill="FFFFFF"/>
        </w:rPr>
        <w:t>. This may constitute a limitation when considering how spouses bargain in the shadow of the law (Mnookin and Kornhauser, 1979).</w:t>
      </w:r>
      <w:r w:rsidRPr="00442267">
        <w:rPr>
          <w:rStyle w:val="FootnoteReference"/>
          <w:rFonts w:eastAsiaTheme="minorEastAsia"/>
          <w:bCs/>
          <w:iCs/>
          <w:shd w:val="clear" w:color="auto" w:fill="FFFFFF"/>
        </w:rPr>
        <w:footnoteReference w:id="51"/>
      </w:r>
      <w:r w:rsidRPr="00442267">
        <w:rPr>
          <w:rFonts w:eastAsiaTheme="minorEastAsia"/>
          <w:bCs/>
          <w:iCs/>
          <w:shd w:val="clear" w:color="auto" w:fill="FFFFFF"/>
        </w:rPr>
        <w:t xml:space="preserve"> Nonetheless</w:t>
      </w:r>
      <w:r>
        <w:rPr>
          <w:rFonts w:eastAsiaTheme="minorEastAsia"/>
          <w:bCs/>
          <w:iCs/>
          <w:shd w:val="clear" w:color="auto" w:fill="FFFFFF"/>
        </w:rPr>
        <w:t>, this limitation may not be significant</w:t>
      </w:r>
      <w:r w:rsidR="00D73662">
        <w:rPr>
          <w:rFonts w:eastAsiaTheme="minorEastAsia"/>
          <w:bCs/>
          <w:iCs/>
          <w:shd w:val="clear" w:color="auto" w:fill="FFFFFF"/>
        </w:rPr>
        <w:t>,</w:t>
      </w:r>
      <w:r>
        <w:rPr>
          <w:rFonts w:eastAsiaTheme="minorEastAsia"/>
          <w:bCs/>
          <w:iCs/>
          <w:shd w:val="clear" w:color="auto" w:fill="FFFFFF"/>
        </w:rPr>
        <w:t xml:space="preserve"> considering how divorce-bargaining typically presents parties with cons</w:t>
      </w:r>
      <w:r w:rsidR="00D73662">
        <w:rPr>
          <w:rFonts w:eastAsiaTheme="minorEastAsia"/>
          <w:bCs/>
          <w:iCs/>
          <w:shd w:val="clear" w:color="auto" w:fill="FFFFFF"/>
        </w:rPr>
        <w:t xml:space="preserve">iderable freedom to structure an </w:t>
      </w:r>
      <w:r>
        <w:rPr>
          <w:rFonts w:eastAsiaTheme="minorEastAsia"/>
          <w:bCs/>
          <w:iCs/>
          <w:shd w:val="clear" w:color="auto" w:fill="FFFFFF"/>
        </w:rPr>
        <w:t xml:space="preserve">agreement that suits their unique circumstances </w:t>
      </w:r>
      <w:r w:rsidRPr="00442267">
        <w:rPr>
          <w:rFonts w:eastAsiaTheme="minorEastAsia"/>
          <w:bCs/>
          <w:iCs/>
          <w:shd w:val="clear" w:color="auto" w:fill="FFFFFF"/>
        </w:rPr>
        <w:t xml:space="preserve">(Mnookin et al., 2000). Indeed, so long as children are adequately cared for, courts typically rubber-stamp divorce agreements arrived at by the spouses (Mnookin, 1985; Brinig and Alexeev, 1993; Mnookin et al., 2000). </w:t>
      </w:r>
      <w:r w:rsidR="00D73662">
        <w:rPr>
          <w:rFonts w:eastAsiaTheme="minorEastAsia"/>
          <w:bCs/>
          <w:iCs/>
          <w:shd w:val="clear" w:color="auto" w:fill="FFFFFF"/>
        </w:rPr>
        <w:t xml:space="preserve">All these real-world parameters may alter settlement and trail probabilities, yet parsimony has been prioritised instead. </w:t>
      </w:r>
    </w:p>
    <w:p w14:paraId="70D17E17" w14:textId="77777777" w:rsidR="00EE0446" w:rsidRPr="00C91751" w:rsidRDefault="00EE0446" w:rsidP="00EE0446">
      <w:pPr>
        <w:spacing w:line="360" w:lineRule="auto"/>
      </w:pPr>
    </w:p>
    <w:p w14:paraId="2FDF1D49" w14:textId="4DFD6159" w:rsidR="00EE0446" w:rsidRPr="00CC2251" w:rsidRDefault="00EE0446" w:rsidP="00CC2251">
      <w:pPr>
        <w:pStyle w:val="ListParagraph"/>
        <w:numPr>
          <w:ilvl w:val="0"/>
          <w:numId w:val="1"/>
        </w:numPr>
        <w:spacing w:line="360" w:lineRule="auto"/>
        <w:rPr>
          <w:rFonts w:eastAsiaTheme="minorEastAsia"/>
          <w:b/>
          <w:shd w:val="clear" w:color="auto" w:fill="FFFFFF"/>
        </w:rPr>
      </w:pPr>
      <w:r w:rsidRPr="00CC2251">
        <w:rPr>
          <w:rFonts w:eastAsiaTheme="minorEastAsia"/>
          <w:b/>
          <w:shd w:val="clear" w:color="auto" w:fill="FFFFFF"/>
        </w:rPr>
        <w:t xml:space="preserve">Future </w:t>
      </w:r>
      <w:r w:rsidR="00FF7776">
        <w:rPr>
          <w:rFonts w:eastAsiaTheme="minorEastAsia"/>
          <w:b/>
          <w:shd w:val="clear" w:color="auto" w:fill="FFFFFF"/>
        </w:rPr>
        <w:t xml:space="preserve">Research </w:t>
      </w:r>
      <w:r w:rsidRPr="00CC2251">
        <w:rPr>
          <w:rFonts w:eastAsiaTheme="minorEastAsia"/>
          <w:b/>
          <w:shd w:val="clear" w:color="auto" w:fill="FFFFFF"/>
        </w:rPr>
        <w:t>Directions</w:t>
      </w:r>
    </w:p>
    <w:p w14:paraId="0C50FED6" w14:textId="7A6043CB" w:rsidR="00D73662" w:rsidRDefault="00EE0446" w:rsidP="00EE0446">
      <w:pPr>
        <w:spacing w:line="360" w:lineRule="auto"/>
      </w:pPr>
      <w:r>
        <w:t xml:space="preserve">Theoretical extensions may develop a more in-depth consideration of the player’s cost-structures, or investigate how various prominent legal rules may affect the attainment of integrative outcomes. Indeed, changes in legal rules </w:t>
      </w:r>
      <w:r w:rsidR="00D73662">
        <w:t xml:space="preserve">may </w:t>
      </w:r>
      <w:r>
        <w:t xml:space="preserve">affect the transaction costs of the parties involved in negotiating </w:t>
      </w:r>
      <w:r w:rsidRPr="008F7A8E">
        <w:t>divorce settlements (Brinig and Alexeev, 1993). Separately</w:t>
      </w:r>
      <w:r>
        <w:t xml:space="preserve">, theoretical extensions </w:t>
      </w:r>
      <w:r w:rsidRPr="004C7FE3">
        <w:t xml:space="preserve">may consider how the intensity of dis(utility) from inequity-aversion varies over the course of the dispute. </w:t>
      </w:r>
      <w:r w:rsidRPr="00ED2124">
        <w:t xml:space="preserve">This </w:t>
      </w:r>
      <w:r w:rsidRPr="008F7A8E">
        <w:t>echoes Charness and Rabin’s (2002)</w:t>
      </w:r>
      <w:r w:rsidRPr="002B2684">
        <w:t xml:space="preserve"> conceptualisation of reciprocity, wherein individuals place varying</w:t>
      </w:r>
      <w:r w:rsidRPr="004C7FE3">
        <w:t xml:space="preserve"> weights on others’ gains in accordance with their past behaviour and beliefs. Further theoretical extensions may incorporate a more dynamic, as opposed to static, consideration of reputations. Indeed, a favourable outcome, given its long-term effect, is expected to not only increase a lawyer’s utility today, but a</w:t>
      </w:r>
      <w:r>
        <w:t>lso the lawyer’s future utility, albeit at a diminishing rate,</w:t>
      </w:r>
      <w:r w:rsidRPr="004C7FE3">
        <w:t xml:space="preserve"> in potential accordance with the availability </w:t>
      </w:r>
      <w:r w:rsidRPr="00DA1A21">
        <w:t>heuristic</w:t>
      </w:r>
      <w:r w:rsidRPr="00E651D4">
        <w:t xml:space="preserve"> (Tversky and Kahenman, 1973).</w:t>
      </w:r>
      <w:r w:rsidR="00D73662" w:rsidRPr="00E651D4">
        <w:rPr>
          <w:rStyle w:val="FootnoteReference"/>
        </w:rPr>
        <w:footnoteReference w:id="52"/>
      </w:r>
      <w:r w:rsidR="00D73662" w:rsidRPr="00E651D4">
        <w:t xml:space="preserve"> </w:t>
      </w:r>
      <w:r w:rsidRPr="00E651D4">
        <w:t>A theoretical</w:t>
      </w:r>
      <w:r w:rsidRPr="004C7FE3">
        <w:t xml:space="preserve"> extension may thus consider how the impact of reputational surpluses or costs </w:t>
      </w:r>
      <w:r w:rsidR="00D73662">
        <w:t xml:space="preserve">may extend over periods, yet </w:t>
      </w:r>
      <w:r w:rsidRPr="004C7FE3">
        <w:t>discount overtime such that recent outcomes bear more weight on a lawyer’s utility. Separately, a theoretical extension may relax the assumption of the client’s lack of sophistication, in acknowledgement of, for instance, repeat divorcees or clients who are well established in the legal or business domain. This may influence a lawyer’s decision-making as the propensity to engage in opportunistic behaviour is postulated to vary inversely with the perceived sophistication of the client. Similarly, the assumption of representation may be relaxed such that not all parties are modell</w:t>
      </w:r>
      <w:r>
        <w:t>ed to hire lawyers</w:t>
      </w:r>
      <w:r w:rsidRPr="004C7FE3">
        <w:t xml:space="preserve"> in line with the rise in pro se representation</w:t>
      </w:r>
      <w:r w:rsidRPr="00584FD0">
        <w:t xml:space="preserve"> </w:t>
      </w:r>
      <w:r w:rsidRPr="00D17A4F">
        <w:t>(Ministry of Justice, 2021).</w:t>
      </w:r>
      <w:r w:rsidRPr="00D17A4F">
        <w:rPr>
          <w:rStyle w:val="FootnoteReference"/>
        </w:rPr>
        <w:footnoteReference w:id="53"/>
      </w:r>
      <w:r w:rsidR="00FF7776" w:rsidRPr="00D17A4F">
        <w:t xml:space="preserve"> </w:t>
      </w:r>
      <w:r w:rsidRPr="00D17A4F">
        <w:t>Separately</w:t>
      </w:r>
      <w:r w:rsidRPr="004C7FE3">
        <w:t xml:space="preserve">, theoretical extensions may develop a ‘regret-averse’ parameter, </w:t>
      </w:r>
      <w:r w:rsidRPr="00DA2021">
        <w:t>consistent with Guthrie’s (1999) regret</w:t>
      </w:r>
      <w:r w:rsidRPr="00EA63A5">
        <w:t>-aversion</w:t>
      </w:r>
      <w:r w:rsidRPr="004C7FE3">
        <w:t xml:space="preserve"> theory of litigation behaviour. Indeed, lawyers may compare their</w:t>
      </w:r>
      <w:r>
        <w:t xml:space="preserve"> own</w:t>
      </w:r>
      <w:r w:rsidRPr="004C7FE3">
        <w:t xml:space="preserve"> utility at different nodes and potentially source disutility when realising they could have secured a better outcome</w:t>
      </w:r>
      <w:r>
        <w:t>, for themselves,</w:t>
      </w:r>
      <w:r w:rsidRPr="004C7FE3">
        <w:t xml:space="preserve"> </w:t>
      </w:r>
      <w:r>
        <w:t>by settling earlier</w:t>
      </w:r>
      <w:r w:rsidRPr="004C7FE3">
        <w:t xml:space="preserve">. Finally, a theoretical extension may consider how the incorporation of implicated children affects divorce-bargaining </w:t>
      </w:r>
      <w:r>
        <w:t xml:space="preserve">outcomes, important, given the likely higher transaction costs </w:t>
      </w:r>
      <w:r w:rsidR="00CC2251" w:rsidRPr="00EA15F3">
        <w:t>that</w:t>
      </w:r>
      <w:r w:rsidRPr="00EA15F3">
        <w:t xml:space="preserve"> result (Maccoby and Mnookin, 1992). </w:t>
      </w:r>
    </w:p>
    <w:p w14:paraId="4BA8413B" w14:textId="77777777" w:rsidR="00D73662" w:rsidRDefault="00D73662" w:rsidP="00EE0446">
      <w:pPr>
        <w:spacing w:line="360" w:lineRule="auto"/>
      </w:pPr>
    </w:p>
    <w:p w14:paraId="0C089199" w14:textId="7AE2E3DD" w:rsidR="000C0D34" w:rsidRPr="00E31B22" w:rsidRDefault="00D73662" w:rsidP="000C0D34">
      <w:pPr>
        <w:spacing w:line="360" w:lineRule="auto"/>
      </w:pPr>
      <w:r>
        <w:t xml:space="preserve">Future experimental research should consider relaxing the assumption of common knowledge of fee-arrangements as well as investigate how unequal hourly-rates affect </w:t>
      </w:r>
      <w:r w:rsidR="00A07A6F">
        <w:t xml:space="preserve">the incidence of integrative outcomes and overinvestment amongst lawyers in the IDBG. </w:t>
      </w:r>
      <w:r>
        <w:t>Additionally, future research should consi</w:t>
      </w:r>
      <w:r w:rsidR="000035CD">
        <w:t xml:space="preserve">der how the prospect of trials, as modelled previously, </w:t>
      </w:r>
      <w:r>
        <w:t>may affect the lawyer’s decision</w:t>
      </w:r>
      <w:r w:rsidR="00A07A6F">
        <w:t>-making. This may involve investigating how different levels of certainty, with respect to trial outcomes, may influence the integrative divorce-bargaining process</w:t>
      </w:r>
      <w:r w:rsidR="00EE0446">
        <w:rPr>
          <w:rFonts w:eastAsia="Times New Roman"/>
          <w:color w:val="000000" w:themeColor="text1"/>
          <w:shd w:val="clear" w:color="auto" w:fill="FFFFFF"/>
        </w:rPr>
        <w:t>.</w:t>
      </w:r>
      <w:r w:rsidR="00EE0446">
        <w:rPr>
          <w:rStyle w:val="FootnoteReference"/>
          <w:rFonts w:eastAsia="Times New Roman"/>
          <w:color w:val="000000" w:themeColor="text1"/>
          <w:shd w:val="clear" w:color="auto" w:fill="FFFFFF"/>
        </w:rPr>
        <w:footnoteReference w:id="54"/>
      </w:r>
      <w:r w:rsidR="000C0D34">
        <w:rPr>
          <w:rFonts w:eastAsia="Times New Roman"/>
          <w:color w:val="000000" w:themeColor="text1"/>
          <w:shd w:val="clear" w:color="auto" w:fill="FFFFFF"/>
        </w:rPr>
        <w:t xml:space="preserve"> </w:t>
      </w:r>
      <w:r w:rsidR="00EE0446">
        <w:rPr>
          <w:rFonts w:eastAsia="Times New Roman"/>
          <w:color w:val="000000" w:themeColor="text1"/>
          <w:shd w:val="clear" w:color="auto" w:fill="FFFFFF"/>
        </w:rPr>
        <w:t xml:space="preserve">Such research may generate insight into how the threat of trials, and the lawyers’ awareness of the likely outcome of trials affects the attainment of integrative agreements. </w:t>
      </w:r>
      <w:r w:rsidR="00EE0446">
        <w:rPr>
          <w:rFonts w:eastAsia="Times New Roman"/>
          <w:color w:val="000000"/>
          <w:shd w:val="clear" w:color="auto" w:fill="FFFFFF"/>
        </w:rPr>
        <w:t xml:space="preserve">Furthermore, in line with pro se representation, experiments may investigate how one-sided pro-se representation influences the clients’ attainment of integrative divorce outcomes. </w:t>
      </w:r>
      <w:r w:rsidR="000C0D34">
        <w:rPr>
          <w:rFonts w:eastAsia="Times New Roman"/>
          <w:color w:val="000000" w:themeColor="text1"/>
          <w:shd w:val="clear" w:color="auto" w:fill="FFFFFF"/>
        </w:rPr>
        <w:t xml:space="preserve">With respect to experimental design, future research should consider recruiting participants from the legal domain to play the role of divorce-lawyers to facilitate generalisation. To further increase external validity, future research may consider having the players play the game </w:t>
      </w:r>
      <w:r w:rsidR="00B463FD">
        <w:rPr>
          <w:rFonts w:eastAsia="Times New Roman"/>
          <w:color w:val="000000" w:themeColor="text1"/>
          <w:shd w:val="clear" w:color="auto" w:fill="FFFFFF"/>
        </w:rPr>
        <w:t xml:space="preserve">face-to-face, </w:t>
      </w:r>
      <w:r w:rsidR="000C0D34">
        <w:rPr>
          <w:rFonts w:eastAsia="Times New Roman"/>
          <w:color w:val="000000" w:themeColor="text1"/>
          <w:shd w:val="clear" w:color="auto" w:fill="FFFFFF"/>
        </w:rPr>
        <w:t xml:space="preserve">akin to real-life divorce-bargaining. This may increase the salience of other-regarding concerns and thus, potential disutility associated with opportunistic behaviour. </w:t>
      </w:r>
    </w:p>
    <w:p w14:paraId="07D89E5E" w14:textId="77777777" w:rsidR="000C0D34" w:rsidRDefault="000C0D34" w:rsidP="009007E4">
      <w:pPr>
        <w:spacing w:line="360" w:lineRule="auto"/>
        <w:rPr>
          <w:rFonts w:eastAsia="Times New Roman"/>
          <w:color w:val="000000"/>
          <w:shd w:val="clear" w:color="auto" w:fill="FFFFFF"/>
        </w:rPr>
      </w:pPr>
    </w:p>
    <w:p w14:paraId="66872B6C" w14:textId="77777777" w:rsidR="000C0D34" w:rsidRDefault="000C0D34" w:rsidP="000C0D34">
      <w:pPr>
        <w:spacing w:line="360" w:lineRule="auto"/>
        <w:rPr>
          <w:rFonts w:eastAsia="Times New Roman"/>
          <w:color w:val="000000" w:themeColor="text1"/>
          <w:shd w:val="clear" w:color="auto" w:fill="FFFFFF"/>
        </w:rPr>
      </w:pPr>
      <w:r>
        <w:rPr>
          <w:rFonts w:eastAsia="Times New Roman"/>
          <w:color w:val="000000"/>
          <w:shd w:val="clear" w:color="auto" w:fill="FFFFFF"/>
        </w:rPr>
        <w:t xml:space="preserve">Critically, future research directions should prioritise the exploration of solutions that may facilitate the ‘timing’ of settlements, helping to curb excessive transaction costs, improve client welfare and, given the reduction in settlement delays, enhance overall social welfare. </w:t>
      </w:r>
    </w:p>
    <w:p w14:paraId="162B6953" w14:textId="6A99CF09" w:rsidR="009007E4" w:rsidRPr="000C0D34" w:rsidRDefault="009007E4" w:rsidP="009007E4">
      <w:pPr>
        <w:spacing w:line="360" w:lineRule="auto"/>
        <w:rPr>
          <w:rFonts w:eastAsia="Times New Roman"/>
          <w:color w:val="000000"/>
          <w:shd w:val="clear" w:color="auto" w:fill="FFFFFF"/>
        </w:rPr>
      </w:pPr>
      <w:r>
        <w:rPr>
          <w:rFonts w:eastAsia="Times New Roman"/>
          <w:color w:val="000000"/>
          <w:shd w:val="clear" w:color="auto" w:fill="FFFFFF"/>
        </w:rPr>
        <w:t xml:space="preserve">Future research should explore how reputational mechanisms may influence a lawyer’s propensity to overinvest and their attainment of integrative outcomes. Indeed, </w:t>
      </w:r>
      <w:r w:rsidR="000035CD">
        <w:rPr>
          <w:rFonts w:eastAsia="Times New Roman"/>
          <w:color w:val="000000"/>
          <w:shd w:val="clear" w:color="auto" w:fill="FFFFFF"/>
        </w:rPr>
        <w:t>the literature review</w:t>
      </w:r>
      <w:r>
        <w:rPr>
          <w:rFonts w:eastAsia="Times New Roman"/>
          <w:color w:val="000000"/>
          <w:shd w:val="clear" w:color="auto" w:fill="FFFFFF"/>
        </w:rPr>
        <w:t xml:space="preserve"> emphasised the significance of a lawyer’s reputational capital, determined to be an asset that may make short-run opportunistic behaviour costly in the long-run. A reputational mechanism can be introduced via an ability amongst (un)satisfied clients to punish/reward their lawyer. Practically, reputational costs/surpluses may take the form of bonus/deduction points. This is argued to be externally valid as in real-life, </w:t>
      </w:r>
      <w:r>
        <w:t>reputational costs and surpluses may be inflicted as a product of traditional or digital WOM from dis(satisfied) clients.</w:t>
      </w:r>
      <w:r>
        <w:rPr>
          <w:rStyle w:val="FootnoteReference"/>
          <w:rFonts w:eastAsiaTheme="minorEastAsia"/>
          <w:shd w:val="clear" w:color="auto" w:fill="FFFFFF"/>
        </w:rPr>
        <w:footnoteReference w:id="55"/>
      </w:r>
      <w:r>
        <w:rPr>
          <w:rFonts w:eastAsiaTheme="minorEastAsia"/>
          <w:shd w:val="clear" w:color="auto" w:fill="FFFFFF"/>
        </w:rPr>
        <w:t xml:space="preserve"> Notably however, there are reasons to believe that a reputational mechanism, reliant on (unsophisticated) clients may not effectively restrain opportunistic behaviour. For instance, </w:t>
      </w:r>
    </w:p>
    <w:p w14:paraId="7F79978C" w14:textId="76B7CC2B" w:rsidR="00B463FD" w:rsidRDefault="009007E4" w:rsidP="007D5AE4">
      <w:pPr>
        <w:spacing w:line="360" w:lineRule="auto"/>
        <w:rPr>
          <w:rFonts w:eastAsiaTheme="minorEastAsia"/>
          <w:shd w:val="clear" w:color="auto" w:fill="FFFFFF"/>
        </w:rPr>
      </w:pPr>
      <w:r>
        <w:rPr>
          <w:rFonts w:eastAsiaTheme="minorEastAsia"/>
          <w:shd w:val="clear" w:color="auto" w:fill="FFFFFF"/>
        </w:rPr>
        <w:t>Zacharias (2008) suggested that in real-life, unsophisticated clients may, at best, select their lawyers based on vague word of mouth. This combined with the high-volume nature of divorce, sug</w:t>
      </w:r>
      <w:r w:rsidR="007D5AE4">
        <w:rPr>
          <w:rFonts w:eastAsiaTheme="minorEastAsia"/>
          <w:shd w:val="clear" w:color="auto" w:fill="FFFFFF"/>
        </w:rPr>
        <w:t xml:space="preserve">gests that any given client may only be capable of imposing limited reputational costs/surpluses. </w:t>
      </w:r>
      <w:r>
        <w:rPr>
          <w:rFonts w:eastAsiaTheme="minorEastAsia"/>
          <w:shd w:val="clear" w:color="auto" w:fill="FFFFFF"/>
        </w:rPr>
        <w:t xml:space="preserve">Nevertheless, even limited reputational costs/rewards may be effective at curbing overinvestment given that it may increase the salience of a lawyer’s fiduciary duties and the clients’ interests, increasing the lawyers’ other-regarding concerns. </w:t>
      </w:r>
      <w:r w:rsidR="00B87FDD">
        <w:rPr>
          <w:rFonts w:eastAsiaTheme="minorEastAsia"/>
          <w:shd w:val="clear" w:color="auto" w:fill="FFFFFF"/>
        </w:rPr>
        <w:t xml:space="preserve">In the same vein,  </w:t>
      </w:r>
    </w:p>
    <w:p w14:paraId="52836B9A" w14:textId="042086A2" w:rsidR="00B87FDD" w:rsidRDefault="00B463FD" w:rsidP="008517EB">
      <w:pPr>
        <w:spacing w:line="360" w:lineRule="auto"/>
        <w:rPr>
          <w:rFonts w:eastAsia="Times New Roman"/>
          <w:color w:val="000000"/>
          <w:shd w:val="clear" w:color="auto" w:fill="FFFFFF"/>
        </w:rPr>
      </w:pPr>
      <w:r>
        <w:rPr>
          <w:rFonts w:eastAsia="Times New Roman"/>
          <w:color w:val="000000"/>
          <w:shd w:val="clear" w:color="auto" w:fill="FFFFFF"/>
        </w:rPr>
        <w:t xml:space="preserve">Alternative </w:t>
      </w:r>
      <w:r w:rsidR="008517EB">
        <w:rPr>
          <w:rFonts w:eastAsia="Times New Roman"/>
          <w:color w:val="000000"/>
          <w:shd w:val="clear" w:color="auto" w:fill="FFFFFF"/>
        </w:rPr>
        <w:t xml:space="preserve">solutions may be effective if they can successfully increase the lawyer’s other-regarding concerns. For example, priming, the presentation of stimuli which passively and temporarily affects a subject’s processing </w:t>
      </w:r>
      <w:r w:rsidR="008517EB" w:rsidRPr="009A4A3D">
        <w:rPr>
          <w:rFonts w:eastAsia="Times New Roman"/>
          <w:color w:val="000000"/>
          <w:shd w:val="clear" w:color="auto" w:fill="FFFFFF"/>
        </w:rPr>
        <w:t>or response (Bargh, Chen and Burrows, 1996)</w:t>
      </w:r>
      <w:r w:rsidR="008517EB" w:rsidRPr="00084B77">
        <w:rPr>
          <w:rFonts w:eastAsia="Times New Roman"/>
          <w:color w:val="000000"/>
          <w:shd w:val="clear" w:color="auto" w:fill="FFFFFF"/>
        </w:rPr>
        <w:t xml:space="preserve"> may </w:t>
      </w:r>
      <w:r w:rsidR="008517EB">
        <w:rPr>
          <w:rFonts w:eastAsia="Times New Roman"/>
          <w:color w:val="000000"/>
          <w:shd w:val="clear" w:color="auto" w:fill="FFFFFF"/>
        </w:rPr>
        <w:t xml:space="preserve">be utilised. For instance, prior literature has illustrated how religious priming can heighten cooperativeness in economic games with anonymous </w:t>
      </w:r>
      <w:r w:rsidR="008517EB" w:rsidRPr="002D549E">
        <w:rPr>
          <w:rFonts w:eastAsia="Times New Roman"/>
          <w:color w:val="000000"/>
          <w:shd w:val="clear" w:color="auto" w:fill="FFFFFF"/>
        </w:rPr>
        <w:t>strangers (Shariff and Norenzayan, 2007; Ahmed</w:t>
      </w:r>
      <w:r w:rsidR="008517EB" w:rsidRPr="006A4012">
        <w:rPr>
          <w:rFonts w:eastAsia="Times New Roman"/>
          <w:color w:val="000000"/>
          <w:shd w:val="clear" w:color="auto" w:fill="FFFFFF"/>
        </w:rPr>
        <w:t xml:space="preserve"> and Hammarstedt, 2011; Ahmed and Salas, 2011) increase</w:t>
      </w:r>
      <w:r w:rsidR="008517EB">
        <w:rPr>
          <w:rFonts w:eastAsia="Times New Roman"/>
          <w:color w:val="000000"/>
          <w:shd w:val="clear" w:color="auto" w:fill="FFFFFF"/>
        </w:rPr>
        <w:t xml:space="preserve"> honesty</w:t>
      </w:r>
      <w:r w:rsidR="008517EB" w:rsidRPr="000416DD">
        <w:rPr>
          <w:rFonts w:eastAsia="Times New Roman"/>
          <w:color w:val="000000"/>
          <w:shd w:val="clear" w:color="auto" w:fill="FFFFFF"/>
        </w:rPr>
        <w:t xml:space="preserve"> (Ra</w:t>
      </w:r>
      <w:r w:rsidR="008517EB">
        <w:rPr>
          <w:rFonts w:eastAsia="Times New Roman"/>
          <w:color w:val="000000"/>
          <w:shd w:val="clear" w:color="auto" w:fill="FFFFFF"/>
        </w:rPr>
        <w:t xml:space="preserve">ndolph-Seng and Nielsen, 2007) and </w:t>
      </w:r>
      <w:r w:rsidR="008517EB" w:rsidRPr="000416DD">
        <w:rPr>
          <w:rFonts w:eastAsia="Times New Roman"/>
          <w:color w:val="000000"/>
          <w:shd w:val="clear" w:color="auto" w:fill="FFFFFF"/>
        </w:rPr>
        <w:t>enhance self-</w:t>
      </w:r>
      <w:r w:rsidR="008517EB" w:rsidRPr="008B4690">
        <w:rPr>
          <w:rFonts w:eastAsia="Times New Roman"/>
          <w:color w:val="000000"/>
          <w:shd w:val="clear" w:color="auto" w:fill="FFFFFF"/>
        </w:rPr>
        <w:t>control (Rounding et al., 2012)</w:t>
      </w:r>
      <w:r>
        <w:rPr>
          <w:rFonts w:eastAsia="Times New Roman"/>
          <w:color w:val="000000"/>
          <w:shd w:val="clear" w:color="auto" w:fill="FFFFFF"/>
        </w:rPr>
        <w:t>.</w:t>
      </w:r>
      <w:r w:rsidR="008517EB">
        <w:rPr>
          <w:rFonts w:eastAsia="Times New Roman"/>
          <w:color w:val="000000"/>
          <w:shd w:val="clear" w:color="auto" w:fill="FFFFFF"/>
        </w:rPr>
        <w:t xml:space="preserve"> Importantly, in the context of the agency problem, religious primes can induce people to sacrifice self-interest for others (</w:t>
      </w:r>
      <w:r w:rsidR="008517EB" w:rsidRPr="00662BF7">
        <w:rPr>
          <w:rFonts w:eastAsia="Times New Roman"/>
          <w:color w:val="000000"/>
          <w:shd w:val="clear" w:color="auto" w:fill="FFFFFF"/>
        </w:rPr>
        <w:t>Xygalatas et al., 2013)</w:t>
      </w:r>
      <w:r w:rsidR="00C43866">
        <w:rPr>
          <w:rFonts w:eastAsia="Times New Roman"/>
          <w:color w:val="000000"/>
          <w:shd w:val="clear" w:color="auto" w:fill="FFFFFF"/>
        </w:rPr>
        <w:t xml:space="preserve">. Potentially, invoking religious thoughts or reminding agents of their own religious beliefs may curb settlement delays and increase the incidence of integrative outcomes in the IDGB. </w:t>
      </w:r>
    </w:p>
    <w:p w14:paraId="7149248B" w14:textId="77777777" w:rsidR="00B87FDD" w:rsidRDefault="00B87FDD" w:rsidP="008517EB">
      <w:pPr>
        <w:spacing w:line="360" w:lineRule="auto"/>
        <w:rPr>
          <w:rFonts w:eastAsia="Times New Roman"/>
          <w:color w:val="000000"/>
          <w:shd w:val="clear" w:color="auto" w:fill="FFFFFF"/>
        </w:rPr>
      </w:pPr>
    </w:p>
    <w:p w14:paraId="014F3474" w14:textId="0BCF1154" w:rsidR="00643D16" w:rsidRDefault="00B87FDD" w:rsidP="008517EB">
      <w:pPr>
        <w:spacing w:line="360" w:lineRule="auto"/>
        <w:rPr>
          <w:rFonts w:eastAsia="Times New Roman"/>
          <w:color w:val="000000"/>
          <w:shd w:val="clear" w:color="auto" w:fill="FFFFFF"/>
        </w:rPr>
      </w:pPr>
      <w:r>
        <w:rPr>
          <w:rFonts w:eastAsia="Times New Roman"/>
          <w:color w:val="000000"/>
          <w:shd w:val="clear" w:color="auto" w:fill="FFFFFF"/>
        </w:rPr>
        <w:t>Alternative solutions may be effective if they can inform prospective stakeholders of the desirability of integrative outcomes and/or increase the publicity/awareness associated with settlement outcomes. Indeed, if clients become cognizant of the merits of integrative outcomes, this may be better reflected in the form of reputational costs. To address this, neutral courts and legal associations might grade attorneys (Zacharias, 2008) based on their performance in settlement outcomes, while preserving the privacy of clients. To alleviate asymmetric information and increase transparency, such grading publications should emphasise the metrics used, and these should include the ‘degree of integrativeness’. Such a publication, made accessible to clients, can emphasise the desirability of integrative outcomes, which may curb a client’s reliance on relative outcomes when evaluating their lawyer’s performance. While monitoring, evaluation of outcomes and publications may be costly, there is a social and economic incentive to subsidise such publications given the suggested welfare implications associated with systematic settlement delays.</w:t>
      </w:r>
      <w:r>
        <w:rPr>
          <w:rFonts w:eastAsia="Times New Roman"/>
          <w:color w:val="000000"/>
          <w:shd w:val="clear" w:color="auto" w:fill="FFFFFF"/>
        </w:rPr>
        <w:t xml:space="preserve"> An experimental investigation of this proposition may involve providing ‘clients’ with a similar publication, including for instance, each lawyer’s previous adherence or deviation from </w:t>
      </w:r>
      <w:r w:rsidR="00B463FD">
        <w:rPr>
          <w:rFonts w:eastAsia="Times New Roman"/>
          <w:color w:val="000000"/>
          <w:shd w:val="clear" w:color="auto" w:fill="FFFFFF"/>
        </w:rPr>
        <w:t xml:space="preserve">integrative outcomes, and having the former subsequently choose their representative. </w:t>
      </w:r>
      <w:r w:rsidR="00643D16">
        <w:rPr>
          <w:rFonts w:eastAsia="Times New Roman"/>
          <w:color w:val="000000"/>
          <w:shd w:val="clear" w:color="auto" w:fill="FFFFFF"/>
        </w:rPr>
        <w:t>Insights derived may increase the likelihood of clients’ attain</w:t>
      </w:r>
      <w:bookmarkStart w:id="0" w:name="_GoBack"/>
      <w:bookmarkEnd w:id="0"/>
      <w:r w:rsidR="00643D16">
        <w:rPr>
          <w:rFonts w:eastAsia="Times New Roman"/>
          <w:color w:val="000000"/>
          <w:shd w:val="clear" w:color="auto" w:fill="FFFFFF"/>
        </w:rPr>
        <w:t xml:space="preserve">ing integrative divorce outcomes, which may reduce the likelihood of future retrials, as well as reduce the costly strain associated with unnecessary settlement delays and divorce trials. The application of these insights may therefore improve the welfare of clients, rectify the misallocation of legal resources as well as reduce existing burdens on the tax-payer, enhancing overall social welfare. </w:t>
      </w:r>
    </w:p>
    <w:p w14:paraId="384E1960" w14:textId="77777777" w:rsidR="00643D16" w:rsidRDefault="00643D16" w:rsidP="008517EB">
      <w:pPr>
        <w:spacing w:line="360" w:lineRule="auto"/>
        <w:rPr>
          <w:rFonts w:eastAsia="Times New Roman"/>
          <w:color w:val="000000"/>
          <w:shd w:val="clear" w:color="auto" w:fill="FFFFFF"/>
        </w:rPr>
      </w:pPr>
    </w:p>
    <w:p w14:paraId="4A318935" w14:textId="77777777" w:rsidR="00643D16" w:rsidRDefault="00643D16" w:rsidP="00EE0446">
      <w:pPr>
        <w:spacing w:line="360" w:lineRule="auto"/>
        <w:rPr>
          <w:rFonts w:eastAsia="Times New Roman"/>
          <w:color w:val="000000"/>
          <w:shd w:val="clear" w:color="auto" w:fill="FFFFFF"/>
        </w:rPr>
      </w:pPr>
    </w:p>
    <w:p w14:paraId="2B6AA503" w14:textId="77777777" w:rsidR="00A07A6F" w:rsidRDefault="00A07A6F" w:rsidP="00EE0446">
      <w:pPr>
        <w:spacing w:line="360" w:lineRule="auto"/>
        <w:rPr>
          <w:rFonts w:eastAsia="Times New Roman"/>
          <w:color w:val="000000"/>
          <w:shd w:val="clear" w:color="auto" w:fill="FFFFFF"/>
        </w:rPr>
      </w:pPr>
    </w:p>
    <w:p w14:paraId="43000A16" w14:textId="77777777" w:rsidR="009007E4" w:rsidRDefault="009007E4" w:rsidP="00EE0446">
      <w:pPr>
        <w:spacing w:line="360" w:lineRule="auto"/>
        <w:rPr>
          <w:rFonts w:eastAsia="Times New Roman"/>
          <w:color w:val="000000"/>
          <w:shd w:val="clear" w:color="auto" w:fill="FFFFFF"/>
        </w:rPr>
      </w:pPr>
    </w:p>
    <w:p w14:paraId="41C563E5" w14:textId="77777777" w:rsidR="007D5AE4" w:rsidRDefault="007D5AE4">
      <w:pPr>
        <w:rPr>
          <w:rFonts w:eastAsia="Times New Roman"/>
          <w:color w:val="000000"/>
          <w:shd w:val="clear" w:color="auto" w:fill="FFFFFF"/>
        </w:rPr>
      </w:pPr>
    </w:p>
    <w:p w14:paraId="3113C54A" w14:textId="77777777" w:rsidR="00B87FDD" w:rsidRDefault="00B87FDD"/>
    <w:p w14:paraId="298A4C4D" w14:textId="77777777" w:rsidR="0011632D" w:rsidRDefault="0011632D"/>
    <w:p w14:paraId="2005DA24" w14:textId="77777777" w:rsidR="00B87FDD" w:rsidRDefault="00B87FDD"/>
    <w:p w14:paraId="1B8E678E" w14:textId="77777777" w:rsidR="00B87FDD" w:rsidRDefault="00B87FDD"/>
    <w:p w14:paraId="41276935" w14:textId="77777777" w:rsidR="00B87FDD" w:rsidRDefault="00B87FDD"/>
    <w:p w14:paraId="1FFC000E" w14:textId="77777777" w:rsidR="00B87FDD" w:rsidRDefault="00B87FDD"/>
    <w:p w14:paraId="219ADED9" w14:textId="77777777" w:rsidR="00B87FDD" w:rsidRDefault="00B87FDD"/>
    <w:p w14:paraId="4D63E26E" w14:textId="77777777" w:rsidR="00B87FDD" w:rsidRDefault="00B87FDD"/>
    <w:p w14:paraId="0BF26743" w14:textId="77777777" w:rsidR="00B87FDD" w:rsidRDefault="00B87FDD"/>
    <w:p w14:paraId="6D702BE3" w14:textId="77777777" w:rsidR="00B87FDD" w:rsidRDefault="00B87FDD"/>
    <w:p w14:paraId="0350864D" w14:textId="77777777" w:rsidR="00B87FDD" w:rsidRDefault="00B87FDD"/>
    <w:p w14:paraId="32C72217" w14:textId="77777777" w:rsidR="00B87FDD" w:rsidRDefault="00B87FDD"/>
    <w:p w14:paraId="591D2F27" w14:textId="4FA6C408" w:rsidR="00B54813" w:rsidRPr="00DA1A21" w:rsidRDefault="00B54813">
      <w:pPr>
        <w:rPr>
          <w:b/>
          <w:u w:val="single"/>
        </w:rPr>
      </w:pPr>
      <w:r w:rsidRPr="00DA1A21">
        <w:rPr>
          <w:b/>
          <w:u w:val="single"/>
        </w:rPr>
        <w:t xml:space="preserve">References </w:t>
      </w:r>
    </w:p>
    <w:p w14:paraId="530ABA0E" w14:textId="77777777" w:rsidR="00084B77" w:rsidRPr="00DA1A21" w:rsidRDefault="00084B77">
      <w:pPr>
        <w:rPr>
          <w:b/>
          <w:u w:val="single"/>
        </w:rPr>
      </w:pPr>
    </w:p>
    <w:p w14:paraId="4FB354C3"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Aaldering, H., Greer, L., Van Kleef, G. and De Dreu, C., 2013. Interest (mis)alignments in representative negotiations: Do pro-social agents fuel or reduce inter-group conflict?. </w:t>
      </w:r>
      <w:r w:rsidRPr="00564493">
        <w:rPr>
          <w:i/>
          <w:iCs/>
          <w:color w:val="000000"/>
          <w:sz w:val="20"/>
          <w:szCs w:val="20"/>
        </w:rPr>
        <w:t>Organizational Behavior and Human Decision Processes</w:t>
      </w:r>
      <w:r w:rsidRPr="00564493">
        <w:rPr>
          <w:color w:val="000000"/>
          <w:sz w:val="20"/>
          <w:szCs w:val="20"/>
        </w:rPr>
        <w:t>, 120(2), pp.240-250.</w:t>
      </w:r>
    </w:p>
    <w:p w14:paraId="10F67DBA" w14:textId="77777777" w:rsidR="006A4012" w:rsidRPr="00564493" w:rsidRDefault="006A4012" w:rsidP="006A4012">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Ahmed, A. and Hammarstedt, M., 2011. The effect of subtle religious representations on cooperation. </w:t>
      </w:r>
      <w:r w:rsidRPr="00564493">
        <w:rPr>
          <w:rFonts w:asciiTheme="minorHAnsi" w:hAnsiTheme="minorHAnsi"/>
          <w:i/>
          <w:iCs/>
          <w:color w:val="000000"/>
          <w:sz w:val="20"/>
          <w:szCs w:val="20"/>
        </w:rPr>
        <w:t>International Journal of Social Economics</w:t>
      </w:r>
      <w:r w:rsidRPr="00564493">
        <w:rPr>
          <w:rFonts w:asciiTheme="minorHAnsi" w:hAnsiTheme="minorHAnsi"/>
          <w:color w:val="000000"/>
          <w:sz w:val="20"/>
          <w:szCs w:val="20"/>
        </w:rPr>
        <w:t>, 38(11), pp.900-910.</w:t>
      </w:r>
    </w:p>
    <w:p w14:paraId="2F23F18D" w14:textId="0BD41C87" w:rsidR="006A4012" w:rsidRPr="00564493" w:rsidRDefault="006A4012" w:rsidP="006A4012">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Ahmed, A. and Salas, O., 2011. Implicit influences of Christian religious representations on dictator and prisoner's dilemma game decisions. </w:t>
      </w:r>
      <w:r w:rsidRPr="00564493">
        <w:rPr>
          <w:rFonts w:asciiTheme="minorHAnsi" w:hAnsiTheme="minorHAnsi"/>
          <w:i/>
          <w:iCs/>
          <w:color w:val="000000"/>
          <w:sz w:val="20"/>
          <w:szCs w:val="20"/>
        </w:rPr>
        <w:t>The Journal of Socio-Economics</w:t>
      </w:r>
      <w:r w:rsidRPr="00564493">
        <w:rPr>
          <w:rFonts w:asciiTheme="minorHAnsi" w:hAnsiTheme="minorHAnsi"/>
          <w:color w:val="000000"/>
          <w:sz w:val="20"/>
          <w:szCs w:val="20"/>
        </w:rPr>
        <w:t>, 40(3), pp.242-246.</w:t>
      </w:r>
    </w:p>
    <w:p w14:paraId="2DC7A25E" w14:textId="77777777" w:rsidR="00084B77" w:rsidRPr="00564493" w:rsidRDefault="00084B77" w:rsidP="00084B77">
      <w:pPr>
        <w:rPr>
          <w:sz w:val="20"/>
          <w:szCs w:val="20"/>
        </w:rPr>
      </w:pPr>
      <w:r w:rsidRPr="00564493">
        <w:rPr>
          <w:sz w:val="20"/>
          <w:szCs w:val="20"/>
        </w:rPr>
        <w:t xml:space="preserve">Alchian, A., 1950. Uncertainty, Evolution, and Economic Theory. </w:t>
      </w:r>
      <w:r w:rsidRPr="00564493">
        <w:rPr>
          <w:i/>
          <w:sz w:val="20"/>
          <w:szCs w:val="20"/>
        </w:rPr>
        <w:t>Journal of Political Economy</w:t>
      </w:r>
      <w:r w:rsidRPr="00564493">
        <w:rPr>
          <w:sz w:val="20"/>
          <w:szCs w:val="20"/>
        </w:rPr>
        <w:t>,</w:t>
      </w:r>
    </w:p>
    <w:p w14:paraId="5EACCEB5" w14:textId="77777777" w:rsidR="00084B77" w:rsidRPr="00564493" w:rsidRDefault="00084B77" w:rsidP="00084B77">
      <w:pPr>
        <w:ind w:left="432"/>
        <w:rPr>
          <w:sz w:val="20"/>
          <w:szCs w:val="20"/>
        </w:rPr>
      </w:pPr>
      <w:r w:rsidRPr="00564493">
        <w:rPr>
          <w:sz w:val="20"/>
          <w:szCs w:val="20"/>
        </w:rPr>
        <w:t>58(3), pp.211-221.</w:t>
      </w:r>
    </w:p>
    <w:p w14:paraId="2682D870" w14:textId="77777777" w:rsidR="00084B77" w:rsidRPr="00564493" w:rsidRDefault="00084B77" w:rsidP="00084B77">
      <w:pPr>
        <w:ind w:left="432"/>
        <w:rPr>
          <w:sz w:val="20"/>
          <w:szCs w:val="20"/>
        </w:rPr>
      </w:pPr>
    </w:p>
    <w:p w14:paraId="04B5FCA2"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Andreoni, J. and Miller, J., 2002. Giving According to GARP: An Experimental Test of the Consistency of Preferences for Altruism. </w:t>
      </w:r>
      <w:r w:rsidRPr="00564493">
        <w:rPr>
          <w:i/>
          <w:iCs/>
          <w:color w:val="000000"/>
          <w:sz w:val="20"/>
          <w:szCs w:val="20"/>
        </w:rPr>
        <w:t>Econometrica</w:t>
      </w:r>
      <w:r w:rsidRPr="00564493">
        <w:rPr>
          <w:color w:val="000000"/>
          <w:sz w:val="20"/>
          <w:szCs w:val="20"/>
        </w:rPr>
        <w:t>, 70(2), pp.737-753.</w:t>
      </w:r>
    </w:p>
    <w:p w14:paraId="54A99251" w14:textId="77777777" w:rsidR="00084B77" w:rsidRPr="00564493" w:rsidRDefault="00084B77" w:rsidP="00084B77">
      <w:pPr>
        <w:outlineLvl w:val="0"/>
        <w:rPr>
          <w:sz w:val="20"/>
          <w:szCs w:val="20"/>
        </w:rPr>
      </w:pPr>
      <w:r w:rsidRPr="00564493">
        <w:rPr>
          <w:sz w:val="20"/>
          <w:szCs w:val="20"/>
        </w:rPr>
        <w:t xml:space="preserve">Arrow, K., 1984. </w:t>
      </w:r>
      <w:r w:rsidRPr="00564493">
        <w:rPr>
          <w:i/>
          <w:sz w:val="20"/>
          <w:szCs w:val="20"/>
        </w:rPr>
        <w:t>The Economics of Agency</w:t>
      </w:r>
      <w:r w:rsidRPr="00564493">
        <w:rPr>
          <w:sz w:val="20"/>
          <w:szCs w:val="20"/>
        </w:rPr>
        <w:t>. The Economic Series. Stanford, California: Stanford</w:t>
      </w:r>
    </w:p>
    <w:p w14:paraId="085F0180" w14:textId="77777777" w:rsidR="00084B77" w:rsidRPr="00564493" w:rsidRDefault="00084B77" w:rsidP="00084B77">
      <w:pPr>
        <w:ind w:left="-288" w:firstLine="720"/>
        <w:rPr>
          <w:sz w:val="20"/>
          <w:szCs w:val="20"/>
        </w:rPr>
      </w:pPr>
      <w:r w:rsidRPr="00564493">
        <w:rPr>
          <w:sz w:val="20"/>
          <w:szCs w:val="20"/>
        </w:rPr>
        <w:t>University.</w:t>
      </w:r>
    </w:p>
    <w:p w14:paraId="3FC93755" w14:textId="77777777" w:rsidR="00084B77" w:rsidRPr="00564493" w:rsidRDefault="00084B77" w:rsidP="00084B77">
      <w:pPr>
        <w:ind w:left="-288" w:firstLine="720"/>
        <w:rPr>
          <w:sz w:val="20"/>
          <w:szCs w:val="20"/>
        </w:rPr>
      </w:pPr>
    </w:p>
    <w:p w14:paraId="255C9BAF" w14:textId="77777777" w:rsidR="00084B77" w:rsidRPr="00564493" w:rsidRDefault="00084B77" w:rsidP="00084B77">
      <w:pPr>
        <w:outlineLvl w:val="0"/>
        <w:rPr>
          <w:sz w:val="20"/>
          <w:szCs w:val="20"/>
        </w:rPr>
      </w:pPr>
      <w:r w:rsidRPr="00564493">
        <w:rPr>
          <w:sz w:val="20"/>
          <w:szCs w:val="20"/>
        </w:rPr>
        <w:t xml:space="preserve">Ashenfelter, O. and Dahl, G., 2012. Bargaining and the Role of Expert Agents: An Empirical Study of </w:t>
      </w:r>
    </w:p>
    <w:p w14:paraId="6CCD6050" w14:textId="77777777" w:rsidR="00084B77" w:rsidRPr="00564493" w:rsidRDefault="00084B77" w:rsidP="00084B77">
      <w:pPr>
        <w:ind w:firstLine="432"/>
        <w:rPr>
          <w:sz w:val="20"/>
          <w:szCs w:val="20"/>
        </w:rPr>
      </w:pPr>
      <w:r w:rsidRPr="00564493">
        <w:rPr>
          <w:sz w:val="20"/>
          <w:szCs w:val="20"/>
        </w:rPr>
        <w:t xml:space="preserve">Final-Offer Arbitration. </w:t>
      </w:r>
      <w:r w:rsidRPr="00564493">
        <w:rPr>
          <w:i/>
          <w:sz w:val="20"/>
          <w:szCs w:val="20"/>
        </w:rPr>
        <w:t>Review of Economics and Statistics</w:t>
      </w:r>
      <w:r w:rsidRPr="00564493">
        <w:rPr>
          <w:sz w:val="20"/>
          <w:szCs w:val="20"/>
        </w:rPr>
        <w:t xml:space="preserve">, 94(1), pp.116-132. </w:t>
      </w:r>
    </w:p>
    <w:p w14:paraId="1DF4D1CE" w14:textId="77777777" w:rsidR="00084B77" w:rsidRPr="00564493" w:rsidRDefault="00084B77" w:rsidP="00084B77">
      <w:pPr>
        <w:ind w:firstLine="432"/>
        <w:rPr>
          <w:sz w:val="20"/>
          <w:szCs w:val="20"/>
        </w:rPr>
      </w:pPr>
    </w:p>
    <w:p w14:paraId="54217F50" w14:textId="77777777" w:rsidR="00084B77" w:rsidRPr="00564493" w:rsidRDefault="00084B77" w:rsidP="00084B77">
      <w:pPr>
        <w:spacing w:after="180"/>
        <w:ind w:left="450" w:hanging="450"/>
        <w:rPr>
          <w:color w:val="000000"/>
          <w:sz w:val="20"/>
          <w:szCs w:val="20"/>
        </w:rPr>
      </w:pPr>
      <w:r w:rsidRPr="00564493">
        <w:rPr>
          <w:color w:val="000000"/>
          <w:sz w:val="20"/>
          <w:szCs w:val="20"/>
        </w:rPr>
        <w:t>Ashenfelter, O., Bloom, D. and Dahl, G., 2013. Lawyers as Agents of the Devil in a Prisoner's Dilemma Game. </w:t>
      </w:r>
      <w:r w:rsidRPr="00564493">
        <w:rPr>
          <w:i/>
          <w:iCs/>
          <w:color w:val="000000"/>
          <w:sz w:val="20"/>
          <w:szCs w:val="20"/>
        </w:rPr>
        <w:t>Journal of Empirical Legal Studies</w:t>
      </w:r>
      <w:r w:rsidRPr="00564493">
        <w:rPr>
          <w:color w:val="000000"/>
          <w:sz w:val="20"/>
          <w:szCs w:val="20"/>
        </w:rPr>
        <w:t>, 10(3), pp.399-423.</w:t>
      </w:r>
    </w:p>
    <w:p w14:paraId="241DF1BD" w14:textId="77777777" w:rsidR="00084B77" w:rsidRPr="00564493" w:rsidRDefault="00084B77" w:rsidP="00084B77">
      <w:pPr>
        <w:ind w:left="432" w:hanging="432"/>
        <w:rPr>
          <w:sz w:val="20"/>
          <w:szCs w:val="20"/>
        </w:rPr>
      </w:pPr>
      <w:r w:rsidRPr="00564493">
        <w:rPr>
          <w:sz w:val="20"/>
          <w:szCs w:val="20"/>
        </w:rPr>
        <w:t xml:space="preserve">Ashraf, N., Camerer, C. and Loewenstein, G., 2005. Adam Smith, Behavioral Economist. </w:t>
      </w:r>
      <w:r w:rsidRPr="00564493">
        <w:rPr>
          <w:i/>
          <w:sz w:val="20"/>
          <w:szCs w:val="20"/>
        </w:rPr>
        <w:t>Journal of Economic Perspectives</w:t>
      </w:r>
      <w:r w:rsidRPr="00564493">
        <w:rPr>
          <w:sz w:val="20"/>
          <w:szCs w:val="20"/>
        </w:rPr>
        <w:t>, 19(3), pp.131-145.</w:t>
      </w:r>
    </w:p>
    <w:p w14:paraId="2BCF92B0" w14:textId="77777777" w:rsidR="00084B77" w:rsidRPr="00564493" w:rsidRDefault="00084B77" w:rsidP="00084B77">
      <w:pPr>
        <w:rPr>
          <w:sz w:val="20"/>
          <w:szCs w:val="20"/>
        </w:rPr>
      </w:pPr>
    </w:p>
    <w:p w14:paraId="553B3829"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Aumann, R., 1995. Backward induction and common knowledge of rationality. </w:t>
      </w:r>
      <w:r w:rsidRPr="00564493">
        <w:rPr>
          <w:i/>
          <w:iCs/>
          <w:color w:val="000000"/>
          <w:sz w:val="20"/>
          <w:szCs w:val="20"/>
        </w:rPr>
        <w:t>Games and Economic Behavior</w:t>
      </w:r>
      <w:r w:rsidRPr="00564493">
        <w:rPr>
          <w:color w:val="000000"/>
          <w:sz w:val="20"/>
          <w:szCs w:val="20"/>
        </w:rPr>
        <w:t>, 8(1), pp.6-19.</w:t>
      </w:r>
    </w:p>
    <w:p w14:paraId="5BE66F02"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Ayres, I., 1990. Playing Games with the Law. </w:t>
      </w:r>
      <w:r w:rsidRPr="00564493">
        <w:rPr>
          <w:i/>
          <w:iCs/>
          <w:color w:val="000000"/>
          <w:sz w:val="20"/>
          <w:szCs w:val="20"/>
        </w:rPr>
        <w:t>Stanford Law Review</w:t>
      </w:r>
      <w:r w:rsidRPr="00564493">
        <w:rPr>
          <w:color w:val="000000"/>
          <w:sz w:val="20"/>
          <w:szCs w:val="20"/>
        </w:rPr>
        <w:t>, 42(5), pp.1291-1317.</w:t>
      </w:r>
    </w:p>
    <w:p w14:paraId="323D9211" w14:textId="77777777" w:rsidR="00084B77" w:rsidRPr="00564493" w:rsidRDefault="00084B77" w:rsidP="00084B77">
      <w:pPr>
        <w:rPr>
          <w:sz w:val="20"/>
          <w:szCs w:val="20"/>
        </w:rPr>
      </w:pPr>
      <w:r w:rsidRPr="00564493">
        <w:rPr>
          <w:sz w:val="20"/>
          <w:szCs w:val="20"/>
        </w:rPr>
        <w:t xml:space="preserve">Baird, D., Gertner, R. and Picker, R., 1994. </w:t>
      </w:r>
      <w:r w:rsidRPr="00564493">
        <w:rPr>
          <w:i/>
          <w:sz w:val="20"/>
          <w:szCs w:val="20"/>
        </w:rPr>
        <w:t>Game theory and the law</w:t>
      </w:r>
      <w:r w:rsidRPr="00564493">
        <w:rPr>
          <w:sz w:val="20"/>
          <w:szCs w:val="20"/>
        </w:rPr>
        <w:t xml:space="preserve">. Cambridge, Mass: Harvard Univ.  </w:t>
      </w:r>
    </w:p>
    <w:p w14:paraId="7F19770E" w14:textId="77777777" w:rsidR="00084B77" w:rsidRPr="00564493" w:rsidRDefault="00084B77" w:rsidP="00084B77">
      <w:pPr>
        <w:ind w:left="288"/>
        <w:rPr>
          <w:sz w:val="20"/>
          <w:szCs w:val="20"/>
        </w:rPr>
      </w:pPr>
      <w:r w:rsidRPr="00564493">
        <w:rPr>
          <w:sz w:val="20"/>
          <w:szCs w:val="20"/>
        </w:rPr>
        <w:t xml:space="preserve">  Press.</w:t>
      </w:r>
    </w:p>
    <w:p w14:paraId="0EF94EF9" w14:textId="77777777" w:rsidR="00084B77" w:rsidRPr="00564493" w:rsidRDefault="00084B77" w:rsidP="00084B77">
      <w:pPr>
        <w:rPr>
          <w:sz w:val="20"/>
          <w:szCs w:val="20"/>
        </w:rPr>
      </w:pPr>
    </w:p>
    <w:p w14:paraId="0D5755BD" w14:textId="77777777" w:rsidR="00084B77" w:rsidRPr="00564493" w:rsidRDefault="00084B77" w:rsidP="00084B77">
      <w:pPr>
        <w:outlineLvl w:val="0"/>
        <w:rPr>
          <w:sz w:val="20"/>
          <w:szCs w:val="20"/>
        </w:rPr>
      </w:pPr>
      <w:r w:rsidRPr="00564493">
        <w:rPr>
          <w:sz w:val="20"/>
          <w:szCs w:val="20"/>
        </w:rPr>
        <w:t xml:space="preserve">Bargh, J., Chen, M. and Burrows, L., 1996. Automaticity of social behaviour: Direct effects of trait </w:t>
      </w:r>
    </w:p>
    <w:p w14:paraId="6A80FEBC" w14:textId="77777777" w:rsidR="00084B77" w:rsidRPr="00564493" w:rsidRDefault="00084B77" w:rsidP="00084B77">
      <w:pPr>
        <w:ind w:left="450"/>
        <w:rPr>
          <w:sz w:val="20"/>
          <w:szCs w:val="20"/>
        </w:rPr>
      </w:pPr>
      <w:r w:rsidRPr="00564493">
        <w:rPr>
          <w:sz w:val="20"/>
          <w:szCs w:val="20"/>
        </w:rPr>
        <w:t xml:space="preserve">construct and stereotype activation on action. </w:t>
      </w:r>
      <w:r w:rsidRPr="00564493">
        <w:rPr>
          <w:i/>
          <w:sz w:val="20"/>
          <w:szCs w:val="20"/>
        </w:rPr>
        <w:t>Journal of Personality and Social Psychology</w:t>
      </w:r>
      <w:r w:rsidRPr="00564493">
        <w:rPr>
          <w:sz w:val="20"/>
          <w:szCs w:val="20"/>
        </w:rPr>
        <w:t xml:space="preserve">, 71(2), pp.230-244. </w:t>
      </w:r>
    </w:p>
    <w:p w14:paraId="71B972A5" w14:textId="77777777" w:rsidR="00084B77" w:rsidRPr="00564493" w:rsidRDefault="00084B77" w:rsidP="00084B77">
      <w:pPr>
        <w:rPr>
          <w:sz w:val="20"/>
          <w:szCs w:val="20"/>
        </w:rPr>
      </w:pPr>
    </w:p>
    <w:p w14:paraId="727029E9" w14:textId="77777777" w:rsidR="00084B77" w:rsidRPr="00564493" w:rsidRDefault="00084B77" w:rsidP="00084B77">
      <w:pPr>
        <w:spacing w:after="180"/>
        <w:ind w:left="450" w:hanging="450"/>
        <w:rPr>
          <w:color w:val="000000"/>
          <w:sz w:val="20"/>
          <w:szCs w:val="20"/>
        </w:rPr>
      </w:pPr>
      <w:r w:rsidRPr="00564493">
        <w:rPr>
          <w:color w:val="000000"/>
          <w:sz w:val="20"/>
          <w:szCs w:val="20"/>
        </w:rPr>
        <w:t>Barry, B. and Friedman, R., 1998. Bargainer characteristics in distributive and integrative negotiation. </w:t>
      </w:r>
      <w:r w:rsidRPr="00564493">
        <w:rPr>
          <w:i/>
          <w:iCs/>
          <w:color w:val="000000"/>
          <w:sz w:val="20"/>
          <w:szCs w:val="20"/>
        </w:rPr>
        <w:t>Journal of Personality and Social Psychology</w:t>
      </w:r>
      <w:r w:rsidRPr="00564493">
        <w:rPr>
          <w:color w:val="000000"/>
          <w:sz w:val="20"/>
          <w:szCs w:val="20"/>
        </w:rPr>
        <w:t>, 74(2), pp.345-359.</w:t>
      </w:r>
    </w:p>
    <w:p w14:paraId="5404C727" w14:textId="77777777" w:rsidR="00084B77" w:rsidRPr="00564493" w:rsidRDefault="00084B77" w:rsidP="00084B77">
      <w:pPr>
        <w:rPr>
          <w:i/>
          <w:sz w:val="20"/>
          <w:szCs w:val="20"/>
        </w:rPr>
      </w:pPr>
      <w:r w:rsidRPr="00564493">
        <w:rPr>
          <w:sz w:val="20"/>
          <w:szCs w:val="20"/>
        </w:rPr>
        <w:t xml:space="preserve">Bar-Gill, O., 2005. The Evolution and Persistence of Optimism in Litigation. </w:t>
      </w:r>
      <w:r w:rsidRPr="00564493">
        <w:rPr>
          <w:i/>
          <w:sz w:val="20"/>
          <w:szCs w:val="20"/>
        </w:rPr>
        <w:t>The Journal of Law,</w:t>
      </w:r>
    </w:p>
    <w:p w14:paraId="56591894" w14:textId="77777777" w:rsidR="00084B77" w:rsidRPr="00564493" w:rsidRDefault="00084B77" w:rsidP="00084B77">
      <w:pPr>
        <w:ind w:firstLine="450"/>
        <w:rPr>
          <w:sz w:val="20"/>
          <w:szCs w:val="20"/>
        </w:rPr>
      </w:pPr>
      <w:r w:rsidRPr="00564493">
        <w:rPr>
          <w:i/>
          <w:sz w:val="20"/>
          <w:szCs w:val="20"/>
        </w:rPr>
        <w:t>Economics, and Organization</w:t>
      </w:r>
      <w:r w:rsidRPr="00564493">
        <w:rPr>
          <w:sz w:val="20"/>
          <w:szCs w:val="20"/>
        </w:rPr>
        <w:t>, 22(2), pp.490-507.</w:t>
      </w:r>
    </w:p>
    <w:p w14:paraId="3310D7CF" w14:textId="77777777" w:rsidR="00084B77" w:rsidRPr="00564493" w:rsidRDefault="00084B77" w:rsidP="00084B77">
      <w:pPr>
        <w:ind w:firstLine="450"/>
        <w:rPr>
          <w:sz w:val="20"/>
          <w:szCs w:val="20"/>
        </w:rPr>
      </w:pPr>
    </w:p>
    <w:p w14:paraId="2833E536"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Bastardi, A. and Shafir, E., 2000. Nonconsequential Reasoning and Its Consequences. </w:t>
      </w:r>
      <w:r w:rsidRPr="00564493">
        <w:rPr>
          <w:i/>
          <w:iCs/>
          <w:color w:val="000000"/>
          <w:sz w:val="20"/>
          <w:szCs w:val="20"/>
        </w:rPr>
        <w:t>Current Directions in Psychological Science</w:t>
      </w:r>
      <w:r w:rsidRPr="00564493">
        <w:rPr>
          <w:color w:val="000000"/>
          <w:sz w:val="20"/>
          <w:szCs w:val="20"/>
        </w:rPr>
        <w:t>, 9(6), pp.216-219.</w:t>
      </w:r>
    </w:p>
    <w:p w14:paraId="69ED0741"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Bazerman, M., Loewenstein, G. and White, S., 1992. Reversals of Preference in Allocation Decisions: Judging an Alternative Versus Choosing Among Alternatives. </w:t>
      </w:r>
      <w:r w:rsidRPr="00564493">
        <w:rPr>
          <w:i/>
          <w:iCs/>
          <w:color w:val="000000"/>
          <w:sz w:val="20"/>
          <w:szCs w:val="20"/>
        </w:rPr>
        <w:t>Administrative Science Quarterly</w:t>
      </w:r>
      <w:r w:rsidRPr="00564493">
        <w:rPr>
          <w:color w:val="000000"/>
          <w:sz w:val="20"/>
          <w:szCs w:val="20"/>
        </w:rPr>
        <w:t>, 37(2), p.220.</w:t>
      </w:r>
    </w:p>
    <w:p w14:paraId="453C431F"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Bazerman, M. and Neale, M., 1983. Heuristics in Negotiation: Limitations to Effective Dispute Resolution. In: M. Bazerman and R. Lewicki, ed., </w:t>
      </w:r>
      <w:r w:rsidRPr="00564493">
        <w:rPr>
          <w:i/>
          <w:iCs/>
          <w:color w:val="000000"/>
          <w:sz w:val="20"/>
          <w:szCs w:val="20"/>
        </w:rPr>
        <w:t>Negotiating in Organizations</w:t>
      </w:r>
      <w:r w:rsidRPr="00564493">
        <w:rPr>
          <w:color w:val="000000"/>
          <w:sz w:val="20"/>
          <w:szCs w:val="20"/>
        </w:rPr>
        <w:t>. Beverly Hills, CA: SAGE.</w:t>
      </w:r>
    </w:p>
    <w:p w14:paraId="33E7D56D"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Bazerman, M., Neale, M., Valley, K., Zajac, E. and Kim, Y., 1992. The effect of agents and mediators on negotiation outcomes. </w:t>
      </w:r>
      <w:r w:rsidRPr="00564493">
        <w:rPr>
          <w:i/>
          <w:iCs/>
          <w:color w:val="000000"/>
          <w:sz w:val="20"/>
          <w:szCs w:val="20"/>
        </w:rPr>
        <w:t>Organizational Behavior and Human Decision Processes</w:t>
      </w:r>
      <w:r w:rsidRPr="00564493">
        <w:rPr>
          <w:color w:val="000000"/>
          <w:sz w:val="20"/>
          <w:szCs w:val="20"/>
        </w:rPr>
        <w:t>, 53(1), pp.55-73.</w:t>
      </w:r>
    </w:p>
    <w:p w14:paraId="5FF39648" w14:textId="77777777" w:rsidR="00084B77" w:rsidRPr="00564493" w:rsidRDefault="00084B77" w:rsidP="00084B77">
      <w:pPr>
        <w:rPr>
          <w:sz w:val="20"/>
          <w:szCs w:val="20"/>
        </w:rPr>
      </w:pPr>
      <w:r w:rsidRPr="00564493">
        <w:rPr>
          <w:sz w:val="20"/>
          <w:szCs w:val="20"/>
        </w:rPr>
        <w:t>Bebchuk, L. and Guzman, A., 1996. How Would You Like to Pay for That? The Strategic Effects of</w:t>
      </w:r>
    </w:p>
    <w:p w14:paraId="1ED92046" w14:textId="77777777" w:rsidR="00084B77" w:rsidRPr="00564493" w:rsidRDefault="00084B77" w:rsidP="00084B77">
      <w:pPr>
        <w:ind w:firstLine="450"/>
        <w:rPr>
          <w:sz w:val="20"/>
          <w:szCs w:val="20"/>
        </w:rPr>
      </w:pPr>
      <w:r w:rsidRPr="00564493">
        <w:rPr>
          <w:sz w:val="20"/>
          <w:szCs w:val="20"/>
        </w:rPr>
        <w:t xml:space="preserve">Fee Arrangements on Settlement Terms. </w:t>
      </w:r>
      <w:r w:rsidRPr="00564493">
        <w:rPr>
          <w:i/>
          <w:sz w:val="20"/>
          <w:szCs w:val="20"/>
        </w:rPr>
        <w:t>Harvard Negotiation Law Review</w:t>
      </w:r>
      <w:r w:rsidRPr="00564493">
        <w:rPr>
          <w:sz w:val="20"/>
          <w:szCs w:val="20"/>
        </w:rPr>
        <w:t>, 1.</w:t>
      </w:r>
    </w:p>
    <w:p w14:paraId="0AB7E849" w14:textId="77777777" w:rsidR="00084B77" w:rsidRPr="00564493" w:rsidRDefault="00084B77" w:rsidP="00084B77">
      <w:pPr>
        <w:ind w:firstLine="450"/>
        <w:rPr>
          <w:sz w:val="20"/>
          <w:szCs w:val="20"/>
        </w:rPr>
      </w:pPr>
    </w:p>
    <w:p w14:paraId="537881F6" w14:textId="202EA4B8" w:rsidR="00DA1A21" w:rsidRPr="00564493" w:rsidRDefault="00084B77" w:rsidP="008F7A8E">
      <w:pPr>
        <w:spacing w:after="180"/>
        <w:ind w:left="450" w:hanging="450"/>
        <w:rPr>
          <w:color w:val="000000"/>
          <w:sz w:val="20"/>
          <w:szCs w:val="20"/>
        </w:rPr>
      </w:pPr>
      <w:r w:rsidRPr="00564493">
        <w:rPr>
          <w:color w:val="000000"/>
          <w:sz w:val="20"/>
          <w:szCs w:val="20"/>
        </w:rPr>
        <w:t>Bibas, S., 2004. Plea Bargaining outside the Shadow of Trial. </w:t>
      </w:r>
      <w:r w:rsidRPr="00564493">
        <w:rPr>
          <w:i/>
          <w:iCs/>
          <w:color w:val="000000"/>
          <w:sz w:val="20"/>
          <w:szCs w:val="20"/>
        </w:rPr>
        <w:t>Harvard Law Review</w:t>
      </w:r>
      <w:r w:rsidRPr="00564493">
        <w:rPr>
          <w:color w:val="000000"/>
          <w:sz w:val="20"/>
          <w:szCs w:val="20"/>
        </w:rPr>
        <w:t>, 117(8), pp.2463-2547.</w:t>
      </w:r>
    </w:p>
    <w:p w14:paraId="24791071" w14:textId="1E565959"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Birke, R. and Fox, C., 1999. Psychological Principles in Negotiating Civil Settlements. </w:t>
      </w:r>
      <w:r w:rsidRPr="00564493">
        <w:rPr>
          <w:i/>
          <w:iCs/>
          <w:color w:val="000000"/>
          <w:sz w:val="20"/>
          <w:szCs w:val="20"/>
        </w:rPr>
        <w:t>Harvard Negotiation Law Review</w:t>
      </w:r>
      <w:r w:rsidRPr="00564493">
        <w:rPr>
          <w:color w:val="000000"/>
          <w:sz w:val="20"/>
          <w:szCs w:val="20"/>
        </w:rPr>
        <w:t>, 4(1).</w:t>
      </w:r>
    </w:p>
    <w:p w14:paraId="404BE8EB"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Bohnet, I. and Frey, B., 1999. Social Distance and Other-Regarding Behavior in Dictator Games: Comment. </w:t>
      </w:r>
      <w:r w:rsidRPr="00564493">
        <w:rPr>
          <w:i/>
          <w:iCs/>
          <w:color w:val="000000"/>
          <w:sz w:val="20"/>
          <w:szCs w:val="20"/>
        </w:rPr>
        <w:t>American Economic Review</w:t>
      </w:r>
      <w:r w:rsidRPr="00564493">
        <w:rPr>
          <w:color w:val="000000"/>
          <w:sz w:val="20"/>
          <w:szCs w:val="20"/>
        </w:rPr>
        <w:t>, 89(1), pp.335-339.</w:t>
      </w:r>
    </w:p>
    <w:p w14:paraId="3B334F65"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Bolton, G. and Ockenfels, A., 2000. ERC: A Theory of Equity, Reciprocity, and Competition. </w:t>
      </w:r>
      <w:r w:rsidRPr="00564493">
        <w:rPr>
          <w:i/>
          <w:iCs/>
          <w:color w:val="000000"/>
          <w:sz w:val="20"/>
          <w:szCs w:val="20"/>
        </w:rPr>
        <w:t>American Economic Review</w:t>
      </w:r>
      <w:r w:rsidRPr="00564493">
        <w:rPr>
          <w:color w:val="000000"/>
          <w:sz w:val="20"/>
          <w:szCs w:val="20"/>
        </w:rPr>
        <w:t>, 90(1), pp.166-193.</w:t>
      </w:r>
    </w:p>
    <w:p w14:paraId="3A79AF3B"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 xml:space="preserve">Bornstein, G., Kugler, T. and Ziegelmeyer, A., 2004. Individual and group decisions in the centipede game: Are groups more “rational” players?. </w:t>
      </w:r>
      <w:r w:rsidRPr="00564493">
        <w:rPr>
          <w:i/>
          <w:color w:val="000000"/>
          <w:sz w:val="20"/>
          <w:szCs w:val="20"/>
        </w:rPr>
        <w:t xml:space="preserve">Journal of Experimental Social Psychology, </w:t>
      </w:r>
      <w:r w:rsidRPr="00564493">
        <w:rPr>
          <w:color w:val="000000"/>
          <w:sz w:val="20"/>
          <w:szCs w:val="20"/>
        </w:rPr>
        <w:t>40(5), pp.599-605.</w:t>
      </w:r>
    </w:p>
    <w:p w14:paraId="69444698"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Bottom, W., Holloway, J., Miller, G., Mislin, A. and Whitford, A., 2006. Building a Pathway to Cooperation: Negotiation and Social Exchange between Principal and Agent. </w:t>
      </w:r>
      <w:r w:rsidRPr="00564493">
        <w:rPr>
          <w:i/>
          <w:iCs/>
          <w:color w:val="000000"/>
          <w:sz w:val="20"/>
          <w:szCs w:val="20"/>
        </w:rPr>
        <w:t>Administrative Science Quarterly</w:t>
      </w:r>
      <w:r w:rsidRPr="00564493">
        <w:rPr>
          <w:color w:val="000000"/>
          <w:sz w:val="20"/>
          <w:szCs w:val="20"/>
        </w:rPr>
        <w:t>, 51(1), pp.29-58.</w:t>
      </w:r>
    </w:p>
    <w:p w14:paraId="7B551F17"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Brams, S. and Taylor, A., 1995. An Envy-Free Cake Division Protocol. </w:t>
      </w:r>
      <w:r w:rsidRPr="00564493">
        <w:rPr>
          <w:i/>
          <w:iCs/>
          <w:color w:val="000000"/>
          <w:sz w:val="20"/>
          <w:szCs w:val="20"/>
        </w:rPr>
        <w:t>The American Mathematical Monthly</w:t>
      </w:r>
      <w:r w:rsidRPr="00564493">
        <w:rPr>
          <w:color w:val="000000"/>
          <w:sz w:val="20"/>
          <w:szCs w:val="20"/>
        </w:rPr>
        <w:t>, 102(1), p.9.</w:t>
      </w:r>
    </w:p>
    <w:p w14:paraId="0B96A873"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Brinig, M. and Alexeev, M., 1993. Trading at Divorce: Preferences, Legal Rules and Transactions Costs. </w:t>
      </w:r>
      <w:r w:rsidRPr="00564493">
        <w:rPr>
          <w:i/>
          <w:iCs/>
          <w:color w:val="000000"/>
          <w:sz w:val="20"/>
          <w:szCs w:val="20"/>
        </w:rPr>
        <w:t>Ohio State Journal on Dispute Resolution</w:t>
      </w:r>
      <w:r w:rsidRPr="00564493">
        <w:rPr>
          <w:color w:val="000000"/>
          <w:sz w:val="20"/>
          <w:szCs w:val="20"/>
        </w:rPr>
        <w:t>, 8(2).</w:t>
      </w:r>
    </w:p>
    <w:p w14:paraId="11C24A4A"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Charness, G. and Gneezy, U., 2008. What's in a name? Anonymity and social distance in dictator and ultimatum games. </w:t>
      </w:r>
      <w:r w:rsidRPr="00564493">
        <w:rPr>
          <w:i/>
          <w:iCs/>
          <w:color w:val="000000"/>
          <w:sz w:val="20"/>
          <w:szCs w:val="20"/>
        </w:rPr>
        <w:t>Journal of Economic Behavior &amp; Organization</w:t>
      </w:r>
      <w:r w:rsidRPr="00564493">
        <w:rPr>
          <w:color w:val="000000"/>
          <w:sz w:val="20"/>
          <w:szCs w:val="20"/>
        </w:rPr>
        <w:t>, 68(1), pp.29-35.</w:t>
      </w:r>
    </w:p>
    <w:p w14:paraId="12D7D7DF"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Charness, G. and Rabin, M., 2002. Understanding Social Preferences with Simple Tests. </w:t>
      </w:r>
      <w:r w:rsidRPr="00564493">
        <w:rPr>
          <w:i/>
          <w:iCs/>
          <w:color w:val="000000"/>
          <w:sz w:val="20"/>
          <w:szCs w:val="20"/>
        </w:rPr>
        <w:t>The Quarterly Journal of Economics</w:t>
      </w:r>
      <w:r w:rsidRPr="00564493">
        <w:rPr>
          <w:color w:val="000000"/>
          <w:sz w:val="20"/>
          <w:szCs w:val="20"/>
        </w:rPr>
        <w:t>, 117(3), pp.817-869.</w:t>
      </w:r>
    </w:p>
    <w:p w14:paraId="7D8151C3"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Chinn, M., 2020. Capturing Legal Costs and Containing the Bill. </w:t>
      </w:r>
      <w:r w:rsidRPr="00564493">
        <w:rPr>
          <w:i/>
          <w:iCs/>
          <w:color w:val="000000"/>
          <w:sz w:val="20"/>
          <w:szCs w:val="20"/>
        </w:rPr>
        <w:t>Family Advocate</w:t>
      </w:r>
      <w:r w:rsidRPr="00564493">
        <w:rPr>
          <w:color w:val="000000"/>
          <w:sz w:val="20"/>
          <w:szCs w:val="20"/>
        </w:rPr>
        <w:t>, 43(1).</w:t>
      </w:r>
    </w:p>
    <w:p w14:paraId="652A982E" w14:textId="77777777" w:rsidR="00084B77" w:rsidRPr="00564493" w:rsidRDefault="00084B77" w:rsidP="00084B77">
      <w:pPr>
        <w:pStyle w:val="NormalWeb"/>
        <w:spacing w:before="0" w:beforeAutospacing="0" w:after="180" w:afterAutospacing="0"/>
        <w:rPr>
          <w:color w:val="000000"/>
          <w:sz w:val="20"/>
          <w:szCs w:val="20"/>
        </w:rPr>
      </w:pPr>
      <w:r w:rsidRPr="00564493">
        <w:rPr>
          <w:color w:val="000000"/>
          <w:sz w:val="20"/>
          <w:szCs w:val="20"/>
        </w:rPr>
        <w:t>Cirace, J., 2018. </w:t>
      </w:r>
      <w:r w:rsidRPr="00564493">
        <w:rPr>
          <w:i/>
          <w:iCs/>
          <w:color w:val="000000"/>
          <w:sz w:val="20"/>
          <w:szCs w:val="20"/>
        </w:rPr>
        <w:t>Law, economics, and game theory</w:t>
      </w:r>
      <w:r w:rsidRPr="00564493">
        <w:rPr>
          <w:color w:val="000000"/>
          <w:sz w:val="20"/>
          <w:szCs w:val="20"/>
        </w:rPr>
        <w:t>. London: Lexington Books.</w:t>
      </w:r>
    </w:p>
    <w:p w14:paraId="2E1CFDBF"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Coleman, J., 1980. Efficiency, Utility, and Wealth Maximization. </w:t>
      </w:r>
      <w:r w:rsidRPr="00564493">
        <w:rPr>
          <w:i/>
          <w:iCs/>
          <w:color w:val="000000"/>
          <w:sz w:val="20"/>
          <w:szCs w:val="20"/>
        </w:rPr>
        <w:t>Hofstra Law Review</w:t>
      </w:r>
      <w:r w:rsidRPr="00564493">
        <w:rPr>
          <w:color w:val="000000"/>
          <w:sz w:val="20"/>
          <w:szCs w:val="20"/>
        </w:rPr>
        <w:t>, 8(3).</w:t>
      </w:r>
    </w:p>
    <w:p w14:paraId="7904F6C9" w14:textId="1A78A560" w:rsidR="00DA1A21" w:rsidRPr="00564493" w:rsidRDefault="00084B77" w:rsidP="00DA1A21">
      <w:pPr>
        <w:pStyle w:val="NormalWeb"/>
        <w:spacing w:before="0" w:beforeAutospacing="0" w:after="180" w:afterAutospacing="0"/>
        <w:ind w:left="450" w:hanging="450"/>
        <w:rPr>
          <w:color w:val="000000"/>
          <w:sz w:val="20"/>
          <w:szCs w:val="20"/>
        </w:rPr>
      </w:pPr>
      <w:r w:rsidRPr="00564493">
        <w:rPr>
          <w:color w:val="000000"/>
          <w:sz w:val="20"/>
          <w:szCs w:val="20"/>
        </w:rPr>
        <w:t>Cooter, R., Marks, S. and Mnookin, R., 1982. Bargaining in the Shadow of the Law: A Testable Model of Strategic Behavior. </w:t>
      </w:r>
      <w:r w:rsidRPr="00564493">
        <w:rPr>
          <w:i/>
          <w:iCs/>
          <w:color w:val="000000"/>
          <w:sz w:val="20"/>
          <w:szCs w:val="20"/>
        </w:rPr>
        <w:t>The Journal of Legal Studies</w:t>
      </w:r>
      <w:r w:rsidRPr="00564493">
        <w:rPr>
          <w:color w:val="000000"/>
          <w:sz w:val="20"/>
          <w:szCs w:val="20"/>
        </w:rPr>
        <w:t>, 11(2), pp.225-251.</w:t>
      </w:r>
    </w:p>
    <w:p w14:paraId="216D2540" w14:textId="30C1CEEA"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Conlon, E. and Parks, J., 1990. Effects of Monitoring and Tradition on Compensation Arrangements: An Experiment with Principal-Agent Dyads. </w:t>
      </w:r>
      <w:r w:rsidRPr="00564493">
        <w:rPr>
          <w:i/>
          <w:iCs/>
          <w:color w:val="000000"/>
          <w:sz w:val="20"/>
          <w:szCs w:val="20"/>
        </w:rPr>
        <w:t>Academy of Management Journal</w:t>
      </w:r>
      <w:r w:rsidRPr="00564493">
        <w:rPr>
          <w:color w:val="000000"/>
          <w:sz w:val="20"/>
          <w:szCs w:val="20"/>
        </w:rPr>
        <w:t>, 33(3), pp.603-622.</w:t>
      </w:r>
    </w:p>
    <w:p w14:paraId="7B32F015" w14:textId="77777777" w:rsidR="00084B77" w:rsidRPr="00564493" w:rsidRDefault="00084B77" w:rsidP="00084B77">
      <w:pPr>
        <w:pStyle w:val="NormalWeb"/>
        <w:spacing w:before="0" w:beforeAutospacing="0" w:after="180" w:afterAutospacing="0"/>
        <w:ind w:left="450" w:hanging="450"/>
        <w:rPr>
          <w:sz w:val="20"/>
          <w:szCs w:val="20"/>
        </w:rPr>
      </w:pPr>
      <w:r w:rsidRPr="00564493">
        <w:rPr>
          <w:sz w:val="20"/>
          <w:szCs w:val="20"/>
        </w:rPr>
        <w:t xml:space="preserve">Croson, R. and Mnookin, R., 1997. Does Disputing Through Agents Enhance Cooperation? Experimental Evidence. </w:t>
      </w:r>
      <w:r w:rsidRPr="00564493">
        <w:rPr>
          <w:i/>
          <w:sz w:val="20"/>
          <w:szCs w:val="20"/>
        </w:rPr>
        <w:t>The Journal of Legal Studies</w:t>
      </w:r>
      <w:r w:rsidRPr="00564493">
        <w:rPr>
          <w:sz w:val="20"/>
          <w:szCs w:val="20"/>
        </w:rPr>
        <w:t>, 26(2), pp.331-345.</w:t>
      </w:r>
    </w:p>
    <w:p w14:paraId="6C3147D1" w14:textId="77777777" w:rsidR="00084B77" w:rsidRPr="00564493" w:rsidRDefault="00084B77" w:rsidP="00084B77">
      <w:pPr>
        <w:rPr>
          <w:sz w:val="20"/>
          <w:szCs w:val="20"/>
        </w:rPr>
      </w:pPr>
      <w:r w:rsidRPr="00564493">
        <w:rPr>
          <w:sz w:val="20"/>
          <w:szCs w:val="20"/>
        </w:rPr>
        <w:t>Dana, J. and Spier, K., 1993. Expertise and Contingent Fees: The Role of Asymmetric Information in</w:t>
      </w:r>
    </w:p>
    <w:p w14:paraId="399D163C" w14:textId="77777777" w:rsidR="00084B77" w:rsidRPr="00564493" w:rsidRDefault="00084B77" w:rsidP="00084B77">
      <w:pPr>
        <w:ind w:left="-288" w:firstLine="720"/>
        <w:rPr>
          <w:sz w:val="20"/>
          <w:szCs w:val="20"/>
        </w:rPr>
      </w:pPr>
      <w:r w:rsidRPr="00564493">
        <w:rPr>
          <w:sz w:val="20"/>
          <w:szCs w:val="20"/>
        </w:rPr>
        <w:t xml:space="preserve">Attorney Compensation. </w:t>
      </w:r>
      <w:r w:rsidRPr="00564493">
        <w:rPr>
          <w:i/>
          <w:sz w:val="20"/>
          <w:szCs w:val="20"/>
        </w:rPr>
        <w:t>The Journal of Law, Economics, and Organization</w:t>
      </w:r>
      <w:r w:rsidRPr="00564493">
        <w:rPr>
          <w:sz w:val="20"/>
          <w:szCs w:val="20"/>
        </w:rPr>
        <w:t>, 9(2).</w:t>
      </w:r>
    </w:p>
    <w:p w14:paraId="5A6AD8A2" w14:textId="77777777" w:rsidR="00084B77" w:rsidRPr="00564493" w:rsidRDefault="00084B77" w:rsidP="00084B77">
      <w:pPr>
        <w:rPr>
          <w:color w:val="000000" w:themeColor="text1"/>
          <w:sz w:val="20"/>
          <w:szCs w:val="20"/>
        </w:rPr>
      </w:pPr>
    </w:p>
    <w:p w14:paraId="50059AB7" w14:textId="77777777" w:rsidR="00084B77" w:rsidRPr="00564493" w:rsidRDefault="00084B77" w:rsidP="00084B77">
      <w:pPr>
        <w:outlineLvl w:val="0"/>
        <w:rPr>
          <w:i/>
          <w:color w:val="000000" w:themeColor="text1"/>
          <w:sz w:val="20"/>
          <w:szCs w:val="20"/>
        </w:rPr>
      </w:pPr>
      <w:r w:rsidRPr="00564493">
        <w:rPr>
          <w:color w:val="000000" w:themeColor="text1"/>
          <w:sz w:val="20"/>
          <w:szCs w:val="20"/>
        </w:rPr>
        <w:t xml:space="preserve">Diaz, L., Houser, D., Ifcher, J. and Zarghamee, H., 2021. </w:t>
      </w:r>
      <w:r w:rsidRPr="00564493">
        <w:rPr>
          <w:i/>
          <w:color w:val="000000" w:themeColor="text1"/>
          <w:sz w:val="20"/>
          <w:szCs w:val="20"/>
        </w:rPr>
        <w:t xml:space="preserve">Estimating Social Preferences Using Stated        </w:t>
      </w:r>
    </w:p>
    <w:p w14:paraId="020D2C7C" w14:textId="77777777" w:rsidR="00084B77" w:rsidRPr="00564493" w:rsidRDefault="00084B77" w:rsidP="00084B77">
      <w:pPr>
        <w:ind w:firstLine="450"/>
        <w:rPr>
          <w:color w:val="000000" w:themeColor="text1"/>
          <w:sz w:val="20"/>
          <w:szCs w:val="20"/>
        </w:rPr>
      </w:pPr>
      <w:r w:rsidRPr="00564493">
        <w:rPr>
          <w:i/>
          <w:color w:val="000000" w:themeColor="text1"/>
          <w:sz w:val="20"/>
          <w:szCs w:val="20"/>
        </w:rPr>
        <w:t xml:space="preserve">Satisfaction: Novel Support for Inequity Aversion </w:t>
      </w:r>
      <w:r w:rsidRPr="00564493">
        <w:rPr>
          <w:color w:val="000000" w:themeColor="text1"/>
          <w:sz w:val="20"/>
          <w:szCs w:val="20"/>
        </w:rPr>
        <w:t xml:space="preserve">(No. 14347). Institute of Labor Economics (IZA). </w:t>
      </w:r>
    </w:p>
    <w:p w14:paraId="4E7047E5" w14:textId="77777777" w:rsidR="00084B77" w:rsidRPr="00564493" w:rsidRDefault="00084B77" w:rsidP="00084B77">
      <w:pPr>
        <w:rPr>
          <w:color w:val="000000" w:themeColor="text1"/>
          <w:sz w:val="20"/>
          <w:szCs w:val="20"/>
        </w:rPr>
      </w:pPr>
    </w:p>
    <w:p w14:paraId="6E35D3A3"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Engelmann, D. and Strobel, M., 2004. Inequality Aversion, Efficiency, and Maximin Preferences in Simple Distribution Experiments. </w:t>
      </w:r>
      <w:r w:rsidRPr="00564493">
        <w:rPr>
          <w:i/>
          <w:iCs/>
          <w:color w:val="000000"/>
          <w:sz w:val="20"/>
          <w:szCs w:val="20"/>
        </w:rPr>
        <w:t>American Economic Review</w:t>
      </w:r>
      <w:r w:rsidRPr="00564493">
        <w:rPr>
          <w:color w:val="000000"/>
          <w:sz w:val="20"/>
          <w:szCs w:val="20"/>
        </w:rPr>
        <w:t>, 94(4), pp.857-869.</w:t>
      </w:r>
    </w:p>
    <w:p w14:paraId="22050223"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Erlanger, H., Chambliss, E. and Melli, M., 1987. Participation and Flexibility in Informal Processes: Cautions from the Divorce Context. </w:t>
      </w:r>
      <w:r w:rsidRPr="00564493">
        <w:rPr>
          <w:i/>
          <w:iCs/>
          <w:color w:val="000000" w:themeColor="text1"/>
          <w:sz w:val="20"/>
          <w:szCs w:val="20"/>
        </w:rPr>
        <w:t>Law &amp; Society Review</w:t>
      </w:r>
      <w:r w:rsidRPr="00564493">
        <w:rPr>
          <w:color w:val="000000" w:themeColor="text1"/>
          <w:sz w:val="20"/>
          <w:szCs w:val="20"/>
        </w:rPr>
        <w:t>, 21(4), pp.585-604.</w:t>
      </w:r>
    </w:p>
    <w:p w14:paraId="352FBE2D"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Eisenberg, M., 1976. Private Ordering Through Negotiation: Dispute-Settlement and Rulemaking. </w:t>
      </w:r>
      <w:r w:rsidRPr="00564493">
        <w:rPr>
          <w:i/>
          <w:iCs/>
          <w:color w:val="000000" w:themeColor="text1"/>
          <w:sz w:val="20"/>
          <w:szCs w:val="20"/>
        </w:rPr>
        <w:t>Harvard Law Review</w:t>
      </w:r>
      <w:r w:rsidRPr="00564493">
        <w:rPr>
          <w:color w:val="000000" w:themeColor="text1"/>
          <w:sz w:val="20"/>
          <w:szCs w:val="20"/>
        </w:rPr>
        <w:t>, 89(4), pp.637-681.</w:t>
      </w:r>
    </w:p>
    <w:p w14:paraId="039F8670"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Emons, W., 2017. Legal Fees and Lawyers' Compensation. In: F. Parisi, ed., </w:t>
      </w:r>
      <w:r w:rsidRPr="00564493">
        <w:rPr>
          <w:i/>
          <w:iCs/>
          <w:color w:val="000000"/>
          <w:sz w:val="20"/>
          <w:szCs w:val="20"/>
        </w:rPr>
        <w:t>The Oxford Handbook of Law and Economics</w:t>
      </w:r>
      <w:r w:rsidRPr="00564493">
        <w:rPr>
          <w:color w:val="000000"/>
          <w:sz w:val="20"/>
          <w:szCs w:val="20"/>
        </w:rPr>
        <w:t>. Oxford: Oxford University Press, pp.247-256.</w:t>
      </w:r>
    </w:p>
    <w:p w14:paraId="19F5321C" w14:textId="77777777" w:rsidR="00084B77" w:rsidRPr="00564493" w:rsidRDefault="00084B77" w:rsidP="00084B77">
      <w:pPr>
        <w:rPr>
          <w:sz w:val="20"/>
          <w:szCs w:val="20"/>
        </w:rPr>
      </w:pPr>
      <w:r w:rsidRPr="00564493">
        <w:rPr>
          <w:sz w:val="20"/>
          <w:szCs w:val="20"/>
        </w:rPr>
        <w:t xml:space="preserve">Ensthaler, L., Huck, S. and Leutgeb, J., 2020. Games played through agents in the laboratory — a test of </w:t>
      </w:r>
    </w:p>
    <w:p w14:paraId="6E901138" w14:textId="77777777" w:rsidR="00084B77" w:rsidRPr="00564493" w:rsidRDefault="00084B77" w:rsidP="00084B77">
      <w:pPr>
        <w:ind w:firstLine="450"/>
        <w:rPr>
          <w:sz w:val="20"/>
          <w:szCs w:val="20"/>
        </w:rPr>
      </w:pPr>
      <w:r w:rsidRPr="00564493">
        <w:rPr>
          <w:sz w:val="20"/>
          <w:szCs w:val="20"/>
        </w:rPr>
        <w:t xml:space="preserve">Prat &amp; Rustichini's model. </w:t>
      </w:r>
      <w:r w:rsidRPr="00564493">
        <w:rPr>
          <w:i/>
          <w:sz w:val="20"/>
          <w:szCs w:val="20"/>
        </w:rPr>
        <w:t>Games and Economic Behavior</w:t>
      </w:r>
      <w:r w:rsidRPr="00564493">
        <w:rPr>
          <w:sz w:val="20"/>
          <w:szCs w:val="20"/>
        </w:rPr>
        <w:t>, 119, pp.30-55.</w:t>
      </w:r>
    </w:p>
    <w:p w14:paraId="17C26E7C" w14:textId="77777777" w:rsidR="00514375" w:rsidRPr="00564493" w:rsidRDefault="00514375" w:rsidP="00084B77">
      <w:pPr>
        <w:ind w:firstLine="450"/>
        <w:rPr>
          <w:sz w:val="20"/>
          <w:szCs w:val="20"/>
        </w:rPr>
      </w:pPr>
    </w:p>
    <w:p w14:paraId="6239E7C0" w14:textId="77777777" w:rsidR="00514375" w:rsidRPr="00564493" w:rsidRDefault="00514375" w:rsidP="00514375">
      <w:pPr>
        <w:rPr>
          <w:sz w:val="20"/>
          <w:szCs w:val="20"/>
        </w:rPr>
      </w:pPr>
      <w:r w:rsidRPr="00564493">
        <w:rPr>
          <w:sz w:val="20"/>
          <w:szCs w:val="20"/>
        </w:rPr>
        <w:t xml:space="preserve">Epper, T., Fehr, E. and Senn, J., 2020. </w:t>
      </w:r>
      <w:r w:rsidRPr="00564493">
        <w:rPr>
          <w:i/>
          <w:sz w:val="20"/>
          <w:szCs w:val="20"/>
        </w:rPr>
        <w:t xml:space="preserve">Other-regarding preferences and redistributive politics </w:t>
      </w:r>
      <w:r w:rsidRPr="00564493">
        <w:rPr>
          <w:sz w:val="20"/>
          <w:szCs w:val="20"/>
        </w:rPr>
        <w:t xml:space="preserve">(No. 339). Working </w:t>
      </w:r>
    </w:p>
    <w:p w14:paraId="191553BB" w14:textId="623ECD99" w:rsidR="00514375" w:rsidRPr="00564493" w:rsidRDefault="00514375" w:rsidP="00514375">
      <w:pPr>
        <w:ind w:firstLine="450"/>
        <w:rPr>
          <w:sz w:val="20"/>
          <w:szCs w:val="20"/>
        </w:rPr>
      </w:pPr>
      <w:r w:rsidRPr="00564493">
        <w:rPr>
          <w:sz w:val="20"/>
          <w:szCs w:val="20"/>
        </w:rPr>
        <w:t xml:space="preserve">Paper. </w:t>
      </w:r>
    </w:p>
    <w:p w14:paraId="27F18243" w14:textId="77777777" w:rsidR="00084B77" w:rsidRPr="00564493" w:rsidRDefault="00084B77" w:rsidP="00084B77">
      <w:pPr>
        <w:ind w:firstLine="720"/>
        <w:rPr>
          <w:sz w:val="20"/>
          <w:szCs w:val="20"/>
        </w:rPr>
      </w:pPr>
    </w:p>
    <w:p w14:paraId="771F13FC"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Evensky, J., 2005. Adam Smith's Theory of Moral Sentiments: On Morals and Why They Matter to a Liberal Society of Free People and Free Markets. </w:t>
      </w:r>
      <w:r w:rsidRPr="00564493">
        <w:rPr>
          <w:i/>
          <w:iCs/>
          <w:color w:val="000000" w:themeColor="text1"/>
          <w:sz w:val="20"/>
          <w:szCs w:val="20"/>
        </w:rPr>
        <w:t>Journal of Economic Perspectives</w:t>
      </w:r>
      <w:r w:rsidRPr="00564493">
        <w:rPr>
          <w:color w:val="000000" w:themeColor="text1"/>
          <w:sz w:val="20"/>
          <w:szCs w:val="20"/>
        </w:rPr>
        <w:t>, 19(3), pp.109-130.</w:t>
      </w:r>
    </w:p>
    <w:p w14:paraId="7E4EADF8"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Fairchild, R., 2019. Direct Versus Indirect Bargaining, Conflicts, Overconfidence and Uncertainties: A Game-theoretic Approach. </w:t>
      </w:r>
      <w:r w:rsidRPr="00564493">
        <w:rPr>
          <w:i/>
          <w:iCs/>
          <w:color w:val="000000"/>
          <w:sz w:val="20"/>
          <w:szCs w:val="20"/>
        </w:rPr>
        <w:t>SSRN Electron J</w:t>
      </w:r>
      <w:r w:rsidRPr="00564493">
        <w:rPr>
          <w:color w:val="000000"/>
          <w:sz w:val="20"/>
          <w:szCs w:val="20"/>
        </w:rPr>
        <w:t>.</w:t>
      </w:r>
    </w:p>
    <w:p w14:paraId="2B74F403" w14:textId="77777777" w:rsidR="00084B77" w:rsidRPr="00564493" w:rsidRDefault="00084B77" w:rsidP="00084B77">
      <w:pPr>
        <w:rPr>
          <w:i/>
          <w:color w:val="000000" w:themeColor="text1"/>
          <w:sz w:val="20"/>
          <w:szCs w:val="20"/>
        </w:rPr>
      </w:pPr>
      <w:r w:rsidRPr="00564493">
        <w:rPr>
          <w:color w:val="000000" w:themeColor="text1"/>
          <w:sz w:val="20"/>
          <w:szCs w:val="20"/>
        </w:rPr>
        <w:t xml:space="preserve">Fehr, E. and Schmidt, K., 1999. A Theory of Fairness, Competition, and Cooperation. </w:t>
      </w:r>
      <w:r w:rsidRPr="00564493">
        <w:rPr>
          <w:i/>
          <w:color w:val="000000" w:themeColor="text1"/>
          <w:sz w:val="20"/>
          <w:szCs w:val="20"/>
        </w:rPr>
        <w:t>The Quarterly</w:t>
      </w:r>
    </w:p>
    <w:p w14:paraId="40C1E6BD" w14:textId="77777777" w:rsidR="00084B77" w:rsidRPr="00564493" w:rsidRDefault="00084B77" w:rsidP="00084B77">
      <w:pPr>
        <w:ind w:left="-288" w:firstLine="720"/>
        <w:rPr>
          <w:color w:val="000000" w:themeColor="text1"/>
          <w:sz w:val="20"/>
          <w:szCs w:val="20"/>
        </w:rPr>
      </w:pPr>
      <w:r w:rsidRPr="00564493">
        <w:rPr>
          <w:i/>
          <w:color w:val="000000" w:themeColor="text1"/>
          <w:sz w:val="20"/>
          <w:szCs w:val="20"/>
        </w:rPr>
        <w:t>Journal of Economics</w:t>
      </w:r>
      <w:r w:rsidRPr="00564493">
        <w:rPr>
          <w:color w:val="000000" w:themeColor="text1"/>
          <w:sz w:val="20"/>
          <w:szCs w:val="20"/>
        </w:rPr>
        <w:t>, 114(3), pp.817-868.</w:t>
      </w:r>
    </w:p>
    <w:p w14:paraId="69BDBDB8" w14:textId="77777777" w:rsidR="00084B77" w:rsidRPr="00564493" w:rsidRDefault="00084B77" w:rsidP="00084B77">
      <w:pPr>
        <w:rPr>
          <w:color w:val="000000" w:themeColor="text1"/>
          <w:sz w:val="20"/>
          <w:szCs w:val="20"/>
        </w:rPr>
      </w:pPr>
    </w:p>
    <w:p w14:paraId="2F242C9D" w14:textId="77777777" w:rsidR="00084B77" w:rsidRPr="00564493" w:rsidRDefault="00084B77" w:rsidP="00084B77">
      <w:pPr>
        <w:outlineLvl w:val="0"/>
        <w:rPr>
          <w:i/>
          <w:sz w:val="20"/>
          <w:szCs w:val="20"/>
        </w:rPr>
      </w:pPr>
      <w:r w:rsidRPr="00564493">
        <w:rPr>
          <w:sz w:val="20"/>
          <w:szCs w:val="20"/>
        </w:rPr>
        <w:t xml:space="preserve">Fershtman, C. and Gneezy, U., 2001. Strategic Delegation: An Experiment. </w:t>
      </w:r>
      <w:r w:rsidRPr="00564493">
        <w:rPr>
          <w:i/>
          <w:sz w:val="20"/>
          <w:szCs w:val="20"/>
        </w:rPr>
        <w:t>The RAND Journal of</w:t>
      </w:r>
    </w:p>
    <w:p w14:paraId="19D044AD" w14:textId="77777777" w:rsidR="00084B77" w:rsidRPr="00564493" w:rsidRDefault="00084B77" w:rsidP="00084B77">
      <w:pPr>
        <w:ind w:left="-288" w:firstLine="720"/>
        <w:rPr>
          <w:sz w:val="20"/>
          <w:szCs w:val="20"/>
        </w:rPr>
      </w:pPr>
      <w:r w:rsidRPr="00564493">
        <w:rPr>
          <w:i/>
          <w:sz w:val="20"/>
          <w:szCs w:val="20"/>
        </w:rPr>
        <w:t>Economics</w:t>
      </w:r>
      <w:r w:rsidRPr="00564493">
        <w:rPr>
          <w:sz w:val="20"/>
          <w:szCs w:val="20"/>
        </w:rPr>
        <w:t>, 32(2), p.352-268.</w:t>
      </w:r>
    </w:p>
    <w:p w14:paraId="65E758D1" w14:textId="77777777" w:rsidR="00084B77" w:rsidRPr="00564493" w:rsidRDefault="00084B77" w:rsidP="00084B77">
      <w:pPr>
        <w:rPr>
          <w:sz w:val="20"/>
          <w:szCs w:val="20"/>
        </w:rPr>
      </w:pPr>
    </w:p>
    <w:p w14:paraId="77473E10" w14:textId="77777777" w:rsidR="00084B77" w:rsidRPr="00564493" w:rsidRDefault="00084B77" w:rsidP="00084B77">
      <w:pPr>
        <w:outlineLvl w:val="0"/>
        <w:rPr>
          <w:sz w:val="20"/>
          <w:szCs w:val="20"/>
        </w:rPr>
      </w:pPr>
      <w:r w:rsidRPr="00564493">
        <w:rPr>
          <w:sz w:val="20"/>
          <w:szCs w:val="20"/>
        </w:rPr>
        <w:t>Fershtman, C., Judd, K. and Kalai, E., 1991. Observable Contracts: Strategic Delegation and</w:t>
      </w:r>
    </w:p>
    <w:p w14:paraId="0324DA7C" w14:textId="77777777" w:rsidR="00084B77" w:rsidRPr="00564493" w:rsidRDefault="00084B77" w:rsidP="00084B77">
      <w:pPr>
        <w:ind w:left="-288" w:firstLine="720"/>
        <w:rPr>
          <w:sz w:val="20"/>
          <w:szCs w:val="20"/>
        </w:rPr>
      </w:pPr>
      <w:r w:rsidRPr="00564493">
        <w:rPr>
          <w:sz w:val="20"/>
          <w:szCs w:val="20"/>
        </w:rPr>
        <w:t xml:space="preserve">Cooperation. </w:t>
      </w:r>
      <w:r w:rsidRPr="00564493">
        <w:rPr>
          <w:i/>
          <w:sz w:val="20"/>
          <w:szCs w:val="20"/>
        </w:rPr>
        <w:t>International Economic Review</w:t>
      </w:r>
      <w:r w:rsidRPr="00564493">
        <w:rPr>
          <w:sz w:val="20"/>
          <w:szCs w:val="20"/>
        </w:rPr>
        <w:t>, 32(3), p.551-559.</w:t>
      </w:r>
    </w:p>
    <w:p w14:paraId="37DE8577" w14:textId="77777777" w:rsidR="00084B77" w:rsidRPr="00564493" w:rsidRDefault="00084B77" w:rsidP="00084B77">
      <w:pPr>
        <w:rPr>
          <w:color w:val="000000" w:themeColor="text1"/>
          <w:sz w:val="20"/>
          <w:szCs w:val="20"/>
        </w:rPr>
      </w:pPr>
    </w:p>
    <w:p w14:paraId="6EB2E578" w14:textId="77777777" w:rsidR="00084B77" w:rsidRPr="00564493" w:rsidRDefault="00084B77" w:rsidP="00084B77">
      <w:pPr>
        <w:rPr>
          <w:color w:val="000000" w:themeColor="text1"/>
          <w:sz w:val="20"/>
          <w:szCs w:val="20"/>
        </w:rPr>
      </w:pPr>
      <w:r w:rsidRPr="00564493">
        <w:rPr>
          <w:color w:val="000000" w:themeColor="text1"/>
          <w:sz w:val="20"/>
          <w:szCs w:val="20"/>
        </w:rPr>
        <w:t xml:space="preserve">Fey, M., McKelvey, R. and Palfrey, T., 1996. An experimental study of constant-sum centipede games. </w:t>
      </w:r>
    </w:p>
    <w:p w14:paraId="601A291F" w14:textId="77777777" w:rsidR="00084B77" w:rsidRPr="00564493" w:rsidRDefault="00084B77" w:rsidP="00084B77">
      <w:pPr>
        <w:ind w:left="-288" w:firstLine="720"/>
        <w:rPr>
          <w:color w:val="000000" w:themeColor="text1"/>
          <w:sz w:val="20"/>
          <w:szCs w:val="20"/>
        </w:rPr>
      </w:pPr>
      <w:r w:rsidRPr="00564493">
        <w:rPr>
          <w:i/>
          <w:color w:val="000000" w:themeColor="text1"/>
          <w:sz w:val="20"/>
          <w:szCs w:val="20"/>
        </w:rPr>
        <w:t>International Journal of Game Theory</w:t>
      </w:r>
      <w:r w:rsidRPr="00564493">
        <w:rPr>
          <w:color w:val="000000" w:themeColor="text1"/>
          <w:sz w:val="20"/>
          <w:szCs w:val="20"/>
        </w:rPr>
        <w:t>, 25(3), pp.269-287.</w:t>
      </w:r>
    </w:p>
    <w:p w14:paraId="66A88644" w14:textId="77777777" w:rsidR="00084B77" w:rsidRPr="00564493" w:rsidRDefault="00084B77" w:rsidP="00084B77">
      <w:pPr>
        <w:ind w:firstLine="720"/>
        <w:rPr>
          <w:color w:val="000000" w:themeColor="text1"/>
          <w:sz w:val="20"/>
          <w:szCs w:val="20"/>
        </w:rPr>
      </w:pPr>
    </w:p>
    <w:p w14:paraId="6A33D024" w14:textId="77777777" w:rsidR="00084B77" w:rsidRPr="00564493" w:rsidRDefault="00084B77" w:rsidP="00084B77">
      <w:pPr>
        <w:spacing w:after="180"/>
        <w:ind w:left="450" w:hanging="450"/>
        <w:rPr>
          <w:color w:val="000000"/>
          <w:sz w:val="20"/>
          <w:szCs w:val="20"/>
        </w:rPr>
      </w:pPr>
      <w:r w:rsidRPr="00564493">
        <w:rPr>
          <w:color w:val="000000"/>
          <w:sz w:val="20"/>
          <w:szCs w:val="20"/>
        </w:rPr>
        <w:t>Fisher, R., Ury, W. and Patton, B., 1991. </w:t>
      </w:r>
      <w:r w:rsidRPr="00564493">
        <w:rPr>
          <w:i/>
          <w:iCs/>
          <w:color w:val="000000"/>
          <w:sz w:val="20"/>
          <w:szCs w:val="20"/>
        </w:rPr>
        <w:t>Getting to Yes: Negotiating agreement without giving in</w:t>
      </w:r>
      <w:r w:rsidRPr="00564493">
        <w:rPr>
          <w:color w:val="000000"/>
          <w:sz w:val="20"/>
          <w:szCs w:val="20"/>
        </w:rPr>
        <w:t>. 2nd ed. New York: Penguin.</w:t>
      </w:r>
    </w:p>
    <w:p w14:paraId="03C36228" w14:textId="060EDC8B" w:rsidR="005A0E14" w:rsidRPr="00564493" w:rsidRDefault="005A0E14" w:rsidP="005A0E14">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Fortney, S., 2005. The billable hours derby: empirical data on the problems and pressure points. </w:t>
      </w:r>
      <w:r w:rsidRPr="00564493">
        <w:rPr>
          <w:rFonts w:asciiTheme="minorHAnsi" w:hAnsiTheme="minorHAnsi"/>
          <w:i/>
          <w:iCs/>
          <w:color w:val="000000"/>
          <w:sz w:val="20"/>
          <w:szCs w:val="20"/>
        </w:rPr>
        <w:t>Fordham Urban Law Journal</w:t>
      </w:r>
      <w:r w:rsidRPr="00564493">
        <w:rPr>
          <w:rFonts w:asciiTheme="minorHAnsi" w:hAnsiTheme="minorHAnsi"/>
          <w:color w:val="000000"/>
          <w:sz w:val="20"/>
          <w:szCs w:val="20"/>
        </w:rPr>
        <w:t>, 33, pp.171-192.</w:t>
      </w:r>
    </w:p>
    <w:p w14:paraId="2A96E67D" w14:textId="77777777" w:rsidR="00084B77" w:rsidRPr="00564493" w:rsidRDefault="00084B77" w:rsidP="00084B77">
      <w:pPr>
        <w:spacing w:after="180"/>
        <w:ind w:left="450" w:hanging="450"/>
        <w:rPr>
          <w:sz w:val="20"/>
          <w:szCs w:val="20"/>
        </w:rPr>
      </w:pPr>
      <w:r w:rsidRPr="00564493">
        <w:rPr>
          <w:sz w:val="20"/>
          <w:szCs w:val="20"/>
        </w:rPr>
        <w:t>García-Pola, B., Iriberri, N. and Kovářík, J., 2020. Non-equilibrium play in centipede games. Games and Economic Behavior, 120, pp.391-433.</w:t>
      </w:r>
    </w:p>
    <w:p w14:paraId="7A151529" w14:textId="77777777" w:rsidR="00084B77" w:rsidRPr="00564493" w:rsidRDefault="00084B77" w:rsidP="00084B77">
      <w:pPr>
        <w:outlineLvl w:val="0"/>
        <w:rPr>
          <w:sz w:val="20"/>
          <w:szCs w:val="20"/>
        </w:rPr>
      </w:pPr>
      <w:r w:rsidRPr="00564493">
        <w:rPr>
          <w:sz w:val="20"/>
          <w:szCs w:val="20"/>
        </w:rPr>
        <w:t>Georgalos, K., 2019. Comparing Behavioural Models Using Data from Experimental Centipede</w:t>
      </w:r>
    </w:p>
    <w:p w14:paraId="15D9B83D" w14:textId="77777777" w:rsidR="00084B77" w:rsidRPr="00564493" w:rsidRDefault="00084B77" w:rsidP="00084B77">
      <w:pPr>
        <w:ind w:left="-288" w:firstLine="720"/>
        <w:rPr>
          <w:sz w:val="20"/>
          <w:szCs w:val="20"/>
        </w:rPr>
      </w:pPr>
      <w:r w:rsidRPr="00564493">
        <w:rPr>
          <w:sz w:val="20"/>
          <w:szCs w:val="20"/>
        </w:rPr>
        <w:t xml:space="preserve">Games. </w:t>
      </w:r>
      <w:r w:rsidRPr="00564493">
        <w:rPr>
          <w:i/>
          <w:sz w:val="20"/>
          <w:szCs w:val="20"/>
        </w:rPr>
        <w:t>Economic Inquiry</w:t>
      </w:r>
      <w:r w:rsidRPr="00564493">
        <w:rPr>
          <w:sz w:val="20"/>
          <w:szCs w:val="20"/>
        </w:rPr>
        <w:t>, 58(1), pp.34-48.</w:t>
      </w:r>
    </w:p>
    <w:p w14:paraId="5C7DB6D4" w14:textId="77777777" w:rsidR="00084B77" w:rsidRPr="00564493" w:rsidRDefault="00084B77" w:rsidP="00084B77">
      <w:pPr>
        <w:rPr>
          <w:sz w:val="20"/>
          <w:szCs w:val="20"/>
        </w:rPr>
      </w:pPr>
    </w:p>
    <w:p w14:paraId="5DDBC578"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Gerber, A., 2007. Centipede Game Experiments. In: J. Aldrich, J. Alt and A. Lupia, ed., </w:t>
      </w:r>
      <w:r w:rsidRPr="00564493">
        <w:rPr>
          <w:i/>
          <w:iCs/>
          <w:color w:val="000000"/>
          <w:sz w:val="20"/>
          <w:szCs w:val="20"/>
        </w:rPr>
        <w:t>Positive Changes in Political Science: The Legacy of Richard D. McKelvey's Most Influential Writings</w:t>
      </w:r>
      <w:r w:rsidRPr="00564493">
        <w:rPr>
          <w:color w:val="000000"/>
          <w:sz w:val="20"/>
          <w:szCs w:val="20"/>
        </w:rPr>
        <w:t>. Ann Arbor: The University of Michigan Press.</w:t>
      </w:r>
    </w:p>
    <w:p w14:paraId="5333805B"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Gerdy, K., 2008. Clients, Empathy, and Compassion: Introducing First-Tear Students to the Heart of Lawyering. </w:t>
      </w:r>
      <w:r w:rsidRPr="00564493">
        <w:rPr>
          <w:i/>
          <w:iCs/>
          <w:color w:val="000000" w:themeColor="text1"/>
          <w:sz w:val="20"/>
          <w:szCs w:val="20"/>
        </w:rPr>
        <w:t>Neb. L. Rev.</w:t>
      </w:r>
      <w:r w:rsidRPr="00564493">
        <w:rPr>
          <w:color w:val="000000" w:themeColor="text1"/>
          <w:sz w:val="20"/>
          <w:szCs w:val="20"/>
        </w:rPr>
        <w:t>, 87(1), p.61.</w:t>
      </w:r>
    </w:p>
    <w:p w14:paraId="79D0153F" w14:textId="77777777" w:rsidR="00084B77" w:rsidRPr="00564493" w:rsidRDefault="00084B77" w:rsidP="00084B77">
      <w:pPr>
        <w:rPr>
          <w:color w:val="000000" w:themeColor="text1"/>
          <w:sz w:val="20"/>
          <w:szCs w:val="20"/>
        </w:rPr>
      </w:pPr>
      <w:r w:rsidRPr="00564493">
        <w:rPr>
          <w:color w:val="000000" w:themeColor="text1"/>
          <w:sz w:val="20"/>
          <w:szCs w:val="20"/>
        </w:rPr>
        <w:t>Gilson, R. and Mnookin, R., 1994. Disputing through Agents: Cooperation and Conflict between</w:t>
      </w:r>
    </w:p>
    <w:p w14:paraId="3ECC0B32" w14:textId="77777777" w:rsidR="00084B77" w:rsidRPr="00564493" w:rsidRDefault="00084B77" w:rsidP="00084B77">
      <w:pPr>
        <w:ind w:firstLine="450"/>
        <w:rPr>
          <w:color w:val="000000" w:themeColor="text1"/>
          <w:sz w:val="20"/>
          <w:szCs w:val="20"/>
        </w:rPr>
      </w:pPr>
      <w:r w:rsidRPr="00564493">
        <w:rPr>
          <w:color w:val="000000" w:themeColor="text1"/>
          <w:sz w:val="20"/>
          <w:szCs w:val="20"/>
        </w:rPr>
        <w:t xml:space="preserve">Lawyers in Litigation. </w:t>
      </w:r>
      <w:r w:rsidRPr="00564493">
        <w:rPr>
          <w:i/>
          <w:color w:val="000000" w:themeColor="text1"/>
          <w:sz w:val="20"/>
          <w:szCs w:val="20"/>
        </w:rPr>
        <w:t>Columbia Law Review</w:t>
      </w:r>
      <w:r w:rsidRPr="00564493">
        <w:rPr>
          <w:color w:val="000000" w:themeColor="text1"/>
          <w:sz w:val="20"/>
          <w:szCs w:val="20"/>
        </w:rPr>
        <w:t>, 94(2), p.509.</w:t>
      </w:r>
    </w:p>
    <w:p w14:paraId="34D65A00" w14:textId="77777777" w:rsidR="00084B77" w:rsidRPr="00564493" w:rsidRDefault="00084B77" w:rsidP="00084B77">
      <w:pPr>
        <w:rPr>
          <w:color w:val="000000" w:themeColor="text1"/>
          <w:sz w:val="20"/>
          <w:szCs w:val="20"/>
        </w:rPr>
      </w:pPr>
    </w:p>
    <w:p w14:paraId="1E478DDD"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Goodman-Delahunty, J., Granhag, P., Hartwig, M. and Loftus, E., 2010. Insightful or wishful: Lawyers' ability to predict case outcomes. </w:t>
      </w:r>
      <w:r w:rsidRPr="00564493">
        <w:rPr>
          <w:i/>
          <w:iCs/>
          <w:color w:val="000000" w:themeColor="text1"/>
          <w:sz w:val="20"/>
          <w:szCs w:val="20"/>
        </w:rPr>
        <w:t>Psychology, Public Policy, and Law</w:t>
      </w:r>
      <w:r w:rsidRPr="00564493">
        <w:rPr>
          <w:color w:val="000000" w:themeColor="text1"/>
          <w:sz w:val="20"/>
          <w:szCs w:val="20"/>
        </w:rPr>
        <w:t>, 16(2), pp.133-157.</w:t>
      </w:r>
    </w:p>
    <w:p w14:paraId="253C3168" w14:textId="648B5DA9"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Gould, J., 1973. The Economics of Legal Conflicts. </w:t>
      </w:r>
      <w:r w:rsidRPr="00564493">
        <w:rPr>
          <w:i/>
          <w:iCs/>
          <w:color w:val="000000"/>
          <w:sz w:val="20"/>
          <w:szCs w:val="20"/>
        </w:rPr>
        <w:t>The Journal of Legal Studies</w:t>
      </w:r>
      <w:r w:rsidRPr="00564493">
        <w:rPr>
          <w:color w:val="000000"/>
          <w:sz w:val="20"/>
          <w:szCs w:val="20"/>
        </w:rPr>
        <w:t>, 2(2), pp.279-300.</w:t>
      </w:r>
    </w:p>
    <w:p w14:paraId="3A1A2549" w14:textId="77777777" w:rsidR="00084B77" w:rsidRPr="00564493" w:rsidRDefault="00084B77" w:rsidP="00084B77">
      <w:pPr>
        <w:outlineLvl w:val="0"/>
        <w:rPr>
          <w:color w:val="000000" w:themeColor="text1"/>
          <w:sz w:val="20"/>
          <w:szCs w:val="20"/>
        </w:rPr>
      </w:pPr>
      <w:r w:rsidRPr="00564493">
        <w:rPr>
          <w:color w:val="000000" w:themeColor="text1"/>
          <w:sz w:val="20"/>
          <w:szCs w:val="20"/>
        </w:rPr>
        <w:t>Guthrie, C., 1999. Better Settle than Sorry: The Regret Aversion Theory of Litigation</w:t>
      </w:r>
    </w:p>
    <w:p w14:paraId="18153EBC" w14:textId="77777777" w:rsidR="00084B77" w:rsidRPr="00564493" w:rsidRDefault="00084B77" w:rsidP="00084B77">
      <w:pPr>
        <w:ind w:left="432"/>
        <w:rPr>
          <w:color w:val="000000" w:themeColor="text1"/>
          <w:sz w:val="20"/>
          <w:szCs w:val="20"/>
        </w:rPr>
      </w:pPr>
      <w:r w:rsidRPr="00564493">
        <w:rPr>
          <w:color w:val="000000" w:themeColor="text1"/>
          <w:sz w:val="20"/>
          <w:szCs w:val="20"/>
        </w:rPr>
        <w:t xml:space="preserve">Behavior. </w:t>
      </w:r>
      <w:r w:rsidRPr="00564493">
        <w:rPr>
          <w:i/>
          <w:color w:val="000000" w:themeColor="text1"/>
          <w:sz w:val="20"/>
          <w:szCs w:val="20"/>
        </w:rPr>
        <w:t>University of Illinois Law Review</w:t>
      </w:r>
      <w:r w:rsidRPr="00564493">
        <w:rPr>
          <w:color w:val="000000" w:themeColor="text1"/>
          <w:sz w:val="20"/>
          <w:szCs w:val="20"/>
        </w:rPr>
        <w:t>.</w:t>
      </w:r>
    </w:p>
    <w:p w14:paraId="02146447" w14:textId="77777777" w:rsidR="00084B77" w:rsidRPr="00564493" w:rsidRDefault="00084B77" w:rsidP="00084B77">
      <w:pPr>
        <w:rPr>
          <w:color w:val="000000" w:themeColor="text1"/>
          <w:sz w:val="20"/>
          <w:szCs w:val="20"/>
        </w:rPr>
      </w:pPr>
    </w:p>
    <w:p w14:paraId="6357B130" w14:textId="77777777" w:rsidR="00084B77" w:rsidRPr="00564493" w:rsidRDefault="00084B77" w:rsidP="00084B77">
      <w:pPr>
        <w:outlineLvl w:val="0"/>
        <w:rPr>
          <w:color w:val="000000" w:themeColor="text1"/>
          <w:sz w:val="20"/>
          <w:szCs w:val="20"/>
        </w:rPr>
      </w:pPr>
      <w:r w:rsidRPr="00564493">
        <w:rPr>
          <w:color w:val="000000" w:themeColor="text1"/>
          <w:sz w:val="20"/>
          <w:szCs w:val="20"/>
        </w:rPr>
        <w:t>Hadfield, G., 2000. The Price of Law: How the Market for Lawyers Distorts the Justice</w:t>
      </w:r>
    </w:p>
    <w:p w14:paraId="36355D86" w14:textId="77777777" w:rsidR="00084B77" w:rsidRPr="00564493" w:rsidRDefault="00084B77" w:rsidP="00084B77">
      <w:pPr>
        <w:ind w:firstLine="450"/>
        <w:rPr>
          <w:color w:val="000000" w:themeColor="text1"/>
          <w:sz w:val="20"/>
          <w:szCs w:val="20"/>
        </w:rPr>
      </w:pPr>
      <w:r w:rsidRPr="00564493">
        <w:rPr>
          <w:color w:val="000000" w:themeColor="text1"/>
          <w:sz w:val="20"/>
          <w:szCs w:val="20"/>
        </w:rPr>
        <w:t xml:space="preserve">System. </w:t>
      </w:r>
      <w:r w:rsidRPr="00564493">
        <w:rPr>
          <w:i/>
          <w:color w:val="000000" w:themeColor="text1"/>
          <w:sz w:val="20"/>
          <w:szCs w:val="20"/>
        </w:rPr>
        <w:t>Michigan Law Review</w:t>
      </w:r>
      <w:r w:rsidRPr="00564493">
        <w:rPr>
          <w:color w:val="000000" w:themeColor="text1"/>
          <w:sz w:val="20"/>
          <w:szCs w:val="20"/>
        </w:rPr>
        <w:t>, 98(4), p.953.</w:t>
      </w:r>
    </w:p>
    <w:p w14:paraId="3851BB6A" w14:textId="77777777" w:rsidR="00084B77" w:rsidRPr="00564493" w:rsidRDefault="00084B77" w:rsidP="00084B77">
      <w:pPr>
        <w:ind w:firstLine="450"/>
        <w:rPr>
          <w:color w:val="000000" w:themeColor="text1"/>
          <w:sz w:val="20"/>
          <w:szCs w:val="20"/>
        </w:rPr>
      </w:pPr>
    </w:p>
    <w:p w14:paraId="4E03579D" w14:textId="77777777" w:rsidR="00084B77" w:rsidRPr="00564493" w:rsidRDefault="00084B77" w:rsidP="00084B77">
      <w:pPr>
        <w:outlineLvl w:val="0"/>
        <w:rPr>
          <w:color w:val="000000" w:themeColor="text1"/>
          <w:sz w:val="20"/>
          <w:szCs w:val="20"/>
        </w:rPr>
      </w:pPr>
      <w:r w:rsidRPr="00564493">
        <w:rPr>
          <w:color w:val="000000" w:themeColor="text1"/>
          <w:sz w:val="20"/>
          <w:szCs w:val="20"/>
        </w:rPr>
        <w:t>Halla, M., 2007. Divorce and the excess burden of lawyers (No. 2962). IZA Discussion Papers.</w:t>
      </w:r>
    </w:p>
    <w:p w14:paraId="714503BD" w14:textId="77777777" w:rsidR="00084B77" w:rsidRPr="00564493" w:rsidRDefault="00084B77" w:rsidP="00084B77">
      <w:pPr>
        <w:outlineLvl w:val="0"/>
        <w:rPr>
          <w:color w:val="000000" w:themeColor="text1"/>
          <w:sz w:val="20"/>
          <w:szCs w:val="20"/>
        </w:rPr>
      </w:pPr>
    </w:p>
    <w:p w14:paraId="7FAD6477"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Halpern, P. and Turnbull, S., 1983. Legal fees contracts and alternative cost rules: An economic analysis. </w:t>
      </w:r>
      <w:r w:rsidRPr="00564493">
        <w:rPr>
          <w:i/>
          <w:iCs/>
          <w:color w:val="000000"/>
          <w:sz w:val="20"/>
          <w:szCs w:val="20"/>
        </w:rPr>
        <w:t>International Review of Law and Economics</w:t>
      </w:r>
      <w:r w:rsidRPr="00564493">
        <w:rPr>
          <w:color w:val="000000"/>
          <w:sz w:val="20"/>
          <w:szCs w:val="20"/>
        </w:rPr>
        <w:t>, 3(1), pp.3-26.</w:t>
      </w:r>
    </w:p>
    <w:p w14:paraId="39F41E58"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Hay, B., 1996. Contingent Fees and Agency Costs. </w:t>
      </w:r>
      <w:r w:rsidRPr="00564493">
        <w:rPr>
          <w:i/>
          <w:iCs/>
          <w:color w:val="000000" w:themeColor="text1"/>
          <w:sz w:val="20"/>
          <w:szCs w:val="20"/>
        </w:rPr>
        <w:t>The Journal of Legal Studies</w:t>
      </w:r>
      <w:r w:rsidRPr="00564493">
        <w:rPr>
          <w:color w:val="000000" w:themeColor="text1"/>
          <w:sz w:val="20"/>
          <w:szCs w:val="20"/>
        </w:rPr>
        <w:t>, 25(2), pp.503-533.</w:t>
      </w:r>
    </w:p>
    <w:p w14:paraId="23E63CBE" w14:textId="77777777" w:rsidR="007012AE" w:rsidRPr="00564493" w:rsidRDefault="007012AE" w:rsidP="007012AE">
      <w:pPr>
        <w:rPr>
          <w:rFonts w:asciiTheme="minorHAnsi" w:eastAsia="Times New Roman" w:hAnsiTheme="minorHAnsi" w:cs="Arial"/>
          <w:color w:val="000000"/>
          <w:sz w:val="20"/>
          <w:szCs w:val="20"/>
          <w:shd w:val="clear" w:color="auto" w:fill="FFFFFF"/>
        </w:rPr>
      </w:pPr>
      <w:r w:rsidRPr="00564493">
        <w:rPr>
          <w:rFonts w:asciiTheme="minorHAnsi" w:eastAsia="Times New Roman" w:hAnsiTheme="minorHAnsi" w:cs="Arial"/>
          <w:color w:val="000000"/>
          <w:sz w:val="20"/>
          <w:szCs w:val="20"/>
          <w:shd w:val="clear" w:color="auto" w:fill="FFFFFF"/>
        </w:rPr>
        <w:t>Heinz, J., Nelson, R., Sandefur, R. and Laumann, E., 2005. </w:t>
      </w:r>
      <w:r w:rsidRPr="00564493">
        <w:rPr>
          <w:rFonts w:asciiTheme="minorHAnsi" w:eastAsia="Times New Roman" w:hAnsiTheme="minorHAnsi" w:cs="Arial"/>
          <w:i/>
          <w:iCs/>
          <w:color w:val="000000"/>
          <w:sz w:val="20"/>
          <w:szCs w:val="20"/>
          <w:shd w:val="clear" w:color="auto" w:fill="FFFFFF"/>
        </w:rPr>
        <w:t>Urban lawyers</w:t>
      </w:r>
      <w:r w:rsidRPr="00564493">
        <w:rPr>
          <w:rFonts w:asciiTheme="minorHAnsi" w:eastAsia="Times New Roman" w:hAnsiTheme="minorHAnsi" w:cs="Arial"/>
          <w:color w:val="000000"/>
          <w:sz w:val="20"/>
          <w:szCs w:val="20"/>
          <w:shd w:val="clear" w:color="auto" w:fill="FFFFFF"/>
        </w:rPr>
        <w:t>. Chicago, Ill.: Univ. of Chicago Press, pp.87-</w:t>
      </w:r>
    </w:p>
    <w:p w14:paraId="64FEF412" w14:textId="080965FF" w:rsidR="007012AE" w:rsidRPr="00564493" w:rsidRDefault="007012AE" w:rsidP="007012AE">
      <w:pPr>
        <w:ind w:firstLine="450"/>
        <w:rPr>
          <w:rFonts w:asciiTheme="minorHAnsi" w:eastAsia="Times New Roman" w:hAnsiTheme="minorHAnsi" w:cs="Arial"/>
          <w:color w:val="000000"/>
          <w:sz w:val="20"/>
          <w:szCs w:val="20"/>
          <w:shd w:val="clear" w:color="auto" w:fill="FFFFFF"/>
        </w:rPr>
      </w:pPr>
      <w:r w:rsidRPr="00564493">
        <w:rPr>
          <w:rFonts w:asciiTheme="minorHAnsi" w:eastAsia="Times New Roman" w:hAnsiTheme="minorHAnsi" w:cs="Arial"/>
          <w:color w:val="000000"/>
          <w:sz w:val="20"/>
          <w:szCs w:val="20"/>
          <w:shd w:val="clear" w:color="auto" w:fill="FFFFFF"/>
        </w:rPr>
        <w:t>88.</w:t>
      </w:r>
    </w:p>
    <w:p w14:paraId="6B9AA6F3" w14:textId="77777777" w:rsidR="007012AE" w:rsidRPr="00564493" w:rsidRDefault="007012AE" w:rsidP="007012AE">
      <w:pPr>
        <w:ind w:firstLine="450"/>
        <w:rPr>
          <w:rFonts w:asciiTheme="minorHAnsi" w:eastAsia="Times New Roman" w:hAnsiTheme="minorHAnsi" w:cs="Arial"/>
          <w:color w:val="000000"/>
          <w:sz w:val="20"/>
          <w:szCs w:val="20"/>
          <w:shd w:val="clear" w:color="auto" w:fill="FFFFFF"/>
        </w:rPr>
      </w:pPr>
    </w:p>
    <w:p w14:paraId="653CEC36"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Hersch, J., 2003. Marriage, Household Production, and Earnings. In: S. Grossbard-Schechtman, ed., </w:t>
      </w:r>
      <w:r w:rsidRPr="00564493">
        <w:rPr>
          <w:i/>
          <w:iCs/>
          <w:color w:val="000000"/>
          <w:sz w:val="20"/>
          <w:szCs w:val="20"/>
        </w:rPr>
        <w:t>Marriage and the Economy: Theory and Evidence from Advanced Industrial Societies</w:t>
      </w:r>
      <w:r w:rsidRPr="00564493">
        <w:rPr>
          <w:color w:val="000000"/>
          <w:sz w:val="20"/>
          <w:szCs w:val="20"/>
        </w:rPr>
        <w:t>. Cambridge, UK: Cambridge University Press, pp.201-221.</w:t>
      </w:r>
    </w:p>
    <w:p w14:paraId="6D3EB014" w14:textId="77777777" w:rsidR="00084B77" w:rsidRPr="00564493" w:rsidRDefault="00084B77" w:rsidP="00084B77">
      <w:pPr>
        <w:pStyle w:val="NormalWeb"/>
        <w:spacing w:before="0" w:beforeAutospacing="0" w:after="180" w:afterAutospacing="0"/>
        <w:rPr>
          <w:color w:val="000000" w:themeColor="text1"/>
          <w:sz w:val="20"/>
          <w:szCs w:val="20"/>
        </w:rPr>
      </w:pPr>
      <w:r w:rsidRPr="00564493">
        <w:rPr>
          <w:color w:val="000000" w:themeColor="text1"/>
          <w:sz w:val="20"/>
          <w:szCs w:val="20"/>
        </w:rPr>
        <w:t>Hirshleifer, J. and Osborne, E., 2001. Truth, effort, and the legal battle. </w:t>
      </w:r>
      <w:r w:rsidRPr="00564493">
        <w:rPr>
          <w:i/>
          <w:iCs/>
          <w:color w:val="000000" w:themeColor="text1"/>
          <w:sz w:val="20"/>
          <w:szCs w:val="20"/>
        </w:rPr>
        <w:t>Public Choice</w:t>
      </w:r>
      <w:r w:rsidRPr="00564493">
        <w:rPr>
          <w:color w:val="000000" w:themeColor="text1"/>
          <w:sz w:val="20"/>
          <w:szCs w:val="20"/>
        </w:rPr>
        <w:t>, 108(1), pp.169-195.</w:t>
      </w:r>
    </w:p>
    <w:p w14:paraId="18F5CEA7"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Hollander-Blumoff, R., 2010. Just Negotiation. </w:t>
      </w:r>
      <w:r w:rsidRPr="00564493">
        <w:rPr>
          <w:i/>
          <w:iCs/>
          <w:color w:val="000000" w:themeColor="text1"/>
          <w:sz w:val="20"/>
          <w:szCs w:val="20"/>
        </w:rPr>
        <w:t>Washington University Law Review</w:t>
      </w:r>
      <w:r w:rsidRPr="00564493">
        <w:rPr>
          <w:color w:val="000000" w:themeColor="text1"/>
          <w:sz w:val="20"/>
          <w:szCs w:val="20"/>
        </w:rPr>
        <w:t>, 88(2).</w:t>
      </w:r>
    </w:p>
    <w:p w14:paraId="290598FD"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Hollander-Blumoff, R. and Tyler, T., 2008. Procedural Justice in Negotiation: Procedural Fairness, Outcome Acceptance, and Integrative Potential. </w:t>
      </w:r>
      <w:r w:rsidRPr="00564493">
        <w:rPr>
          <w:i/>
          <w:iCs/>
          <w:color w:val="000000" w:themeColor="text1"/>
          <w:sz w:val="20"/>
          <w:szCs w:val="20"/>
        </w:rPr>
        <w:t>Law &amp; Social Inquiry</w:t>
      </w:r>
      <w:r w:rsidRPr="00564493">
        <w:rPr>
          <w:color w:val="000000" w:themeColor="text1"/>
          <w:sz w:val="20"/>
          <w:szCs w:val="20"/>
        </w:rPr>
        <w:t>, 33(2), pp.473-500.</w:t>
      </w:r>
    </w:p>
    <w:p w14:paraId="0B91EC41" w14:textId="77777777" w:rsidR="00084B77" w:rsidRPr="00564493" w:rsidRDefault="00084B77" w:rsidP="00084B77">
      <w:pPr>
        <w:rPr>
          <w:color w:val="000000" w:themeColor="text1"/>
          <w:sz w:val="20"/>
          <w:szCs w:val="20"/>
        </w:rPr>
      </w:pPr>
      <w:r w:rsidRPr="00564493">
        <w:rPr>
          <w:color w:val="000000" w:themeColor="text1"/>
          <w:sz w:val="20"/>
          <w:szCs w:val="20"/>
        </w:rPr>
        <w:t>Jensen, M. and Meckling, W., 1976. Theory of the firm: Managerial behavior, agency costs and</w:t>
      </w:r>
    </w:p>
    <w:p w14:paraId="167933C0" w14:textId="32562CF4" w:rsidR="00DA1A21" w:rsidRPr="00564493" w:rsidRDefault="00084B77" w:rsidP="00DA1A21">
      <w:pPr>
        <w:ind w:firstLine="450"/>
        <w:rPr>
          <w:color w:val="000000" w:themeColor="text1"/>
          <w:sz w:val="20"/>
          <w:szCs w:val="20"/>
        </w:rPr>
      </w:pPr>
      <w:r w:rsidRPr="00564493">
        <w:rPr>
          <w:color w:val="000000" w:themeColor="text1"/>
          <w:sz w:val="20"/>
          <w:szCs w:val="20"/>
        </w:rPr>
        <w:t xml:space="preserve">ownership structure. </w:t>
      </w:r>
      <w:r w:rsidRPr="00564493">
        <w:rPr>
          <w:i/>
          <w:color w:val="000000" w:themeColor="text1"/>
          <w:sz w:val="20"/>
          <w:szCs w:val="20"/>
        </w:rPr>
        <w:t>Journal of Financial Economics</w:t>
      </w:r>
      <w:r w:rsidRPr="00564493">
        <w:rPr>
          <w:color w:val="000000" w:themeColor="text1"/>
          <w:sz w:val="20"/>
          <w:szCs w:val="20"/>
        </w:rPr>
        <w:t>, 3(4), pp.305-360.</w:t>
      </w:r>
    </w:p>
    <w:p w14:paraId="2F0750D4" w14:textId="77777777" w:rsidR="00DA1A21" w:rsidRPr="00564493" w:rsidRDefault="00DA1A21" w:rsidP="00DA1A21">
      <w:pPr>
        <w:ind w:firstLine="450"/>
        <w:rPr>
          <w:color w:val="000000" w:themeColor="text1"/>
          <w:sz w:val="20"/>
          <w:szCs w:val="20"/>
        </w:rPr>
      </w:pPr>
    </w:p>
    <w:p w14:paraId="2AA66A38" w14:textId="4FEC2BB9" w:rsidR="00084B77"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Jensen, M. and Zimmerman, J., 1985. Management compensation and the managerial labor market. </w:t>
      </w:r>
      <w:r w:rsidRPr="00564493">
        <w:rPr>
          <w:i/>
          <w:iCs/>
          <w:color w:val="000000"/>
          <w:sz w:val="20"/>
          <w:szCs w:val="20"/>
        </w:rPr>
        <w:t>Journal of Accounting and Economics</w:t>
      </w:r>
      <w:r w:rsidRPr="00564493">
        <w:rPr>
          <w:color w:val="000000"/>
          <w:sz w:val="20"/>
          <w:szCs w:val="20"/>
        </w:rPr>
        <w:t>, 7(1-3), pp.3-9.</w:t>
      </w:r>
    </w:p>
    <w:p w14:paraId="079A205F"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Jolls, C., Sunstein, C. and Thaler, R., 1998. A Behavioral Approach to Law and Economics. </w:t>
      </w:r>
      <w:r w:rsidRPr="00564493">
        <w:rPr>
          <w:i/>
          <w:iCs/>
          <w:color w:val="000000" w:themeColor="text1"/>
          <w:sz w:val="20"/>
          <w:szCs w:val="20"/>
        </w:rPr>
        <w:t>Stanford Law Review</w:t>
      </w:r>
      <w:r w:rsidRPr="00564493">
        <w:rPr>
          <w:color w:val="000000" w:themeColor="text1"/>
          <w:sz w:val="20"/>
          <w:szCs w:val="20"/>
        </w:rPr>
        <w:t>, 50(5), pp.1471-1550.</w:t>
      </w:r>
    </w:p>
    <w:p w14:paraId="3ED88FD7"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Jones, S., 1989. Have your lawyer call my lawyer. </w:t>
      </w:r>
      <w:r w:rsidRPr="00564493">
        <w:rPr>
          <w:i/>
          <w:iCs/>
          <w:color w:val="000000"/>
          <w:sz w:val="20"/>
          <w:szCs w:val="20"/>
        </w:rPr>
        <w:t>Journal of Economic Behavior &amp; Organization</w:t>
      </w:r>
      <w:r w:rsidRPr="00564493">
        <w:rPr>
          <w:color w:val="000000"/>
          <w:sz w:val="20"/>
          <w:szCs w:val="20"/>
        </w:rPr>
        <w:t>, 11(2), pp.159-174.</w:t>
      </w:r>
    </w:p>
    <w:p w14:paraId="1512EED8"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Kaplow, L. and Shavell, S., 2002. Economic Analysis of Law. In: A. Auerbach and M. Feldstein, ed., </w:t>
      </w:r>
      <w:r w:rsidRPr="00564493">
        <w:rPr>
          <w:i/>
          <w:iCs/>
          <w:color w:val="000000" w:themeColor="text1"/>
          <w:sz w:val="20"/>
          <w:szCs w:val="20"/>
        </w:rPr>
        <w:t>Handbook of Public Economics</w:t>
      </w:r>
      <w:r w:rsidRPr="00564493">
        <w:rPr>
          <w:color w:val="000000" w:themeColor="text1"/>
          <w:sz w:val="20"/>
          <w:szCs w:val="20"/>
        </w:rPr>
        <w:t>, 3rd ed. Elsevier Science B.V.</w:t>
      </w:r>
    </w:p>
    <w:p w14:paraId="12618FBD" w14:textId="77777777" w:rsidR="00084B77" w:rsidRPr="00564493" w:rsidRDefault="00084B77" w:rsidP="00084B77">
      <w:pPr>
        <w:rPr>
          <w:i/>
          <w:sz w:val="20"/>
          <w:szCs w:val="20"/>
        </w:rPr>
      </w:pPr>
      <w:r w:rsidRPr="00564493">
        <w:rPr>
          <w:sz w:val="20"/>
          <w:szCs w:val="20"/>
        </w:rPr>
        <w:t xml:space="preserve">Katz, M., 1991. Game-Playing Agents: Unobservable Contracts as Precommitments. </w:t>
      </w:r>
      <w:r w:rsidRPr="00564493">
        <w:rPr>
          <w:i/>
          <w:sz w:val="20"/>
          <w:szCs w:val="20"/>
        </w:rPr>
        <w:t>The RAND</w:t>
      </w:r>
    </w:p>
    <w:p w14:paraId="43D41323" w14:textId="77777777" w:rsidR="00084B77" w:rsidRPr="00564493" w:rsidRDefault="00084B77" w:rsidP="00084B77">
      <w:pPr>
        <w:ind w:firstLine="450"/>
        <w:rPr>
          <w:sz w:val="20"/>
          <w:szCs w:val="20"/>
        </w:rPr>
      </w:pPr>
      <w:r w:rsidRPr="00564493">
        <w:rPr>
          <w:i/>
          <w:sz w:val="20"/>
          <w:szCs w:val="20"/>
        </w:rPr>
        <w:t>Journal of Economics</w:t>
      </w:r>
      <w:r w:rsidRPr="00564493">
        <w:rPr>
          <w:sz w:val="20"/>
          <w:szCs w:val="20"/>
        </w:rPr>
        <w:t>, 22(3), p.307.</w:t>
      </w:r>
    </w:p>
    <w:p w14:paraId="39EEF883" w14:textId="77777777" w:rsidR="00084B77" w:rsidRPr="00564493" w:rsidRDefault="00084B77" w:rsidP="00084B77">
      <w:pPr>
        <w:ind w:left="-288" w:firstLine="720"/>
        <w:rPr>
          <w:sz w:val="20"/>
          <w:szCs w:val="20"/>
        </w:rPr>
      </w:pPr>
    </w:p>
    <w:p w14:paraId="1FC0886B" w14:textId="77777777" w:rsidR="00084B77" w:rsidRPr="00564493" w:rsidRDefault="00084B77" w:rsidP="00084B77">
      <w:pPr>
        <w:spacing w:after="180"/>
        <w:ind w:left="450" w:hanging="450"/>
        <w:rPr>
          <w:color w:val="000000"/>
          <w:sz w:val="20"/>
          <w:szCs w:val="20"/>
        </w:rPr>
      </w:pPr>
      <w:r w:rsidRPr="00564493">
        <w:rPr>
          <w:color w:val="000000"/>
          <w:sz w:val="20"/>
          <w:szCs w:val="20"/>
        </w:rPr>
        <w:t>Kawagoe, T. and Takizawa, H., 2012. Level-k analysis of experimental centipede games. </w:t>
      </w:r>
      <w:r w:rsidRPr="00564493">
        <w:rPr>
          <w:i/>
          <w:iCs/>
          <w:color w:val="000000"/>
          <w:sz w:val="20"/>
          <w:szCs w:val="20"/>
        </w:rPr>
        <w:t>Journal of Economic Behavior &amp; Organization</w:t>
      </w:r>
      <w:r w:rsidRPr="00564493">
        <w:rPr>
          <w:color w:val="000000"/>
          <w:sz w:val="20"/>
          <w:szCs w:val="20"/>
        </w:rPr>
        <w:t>, 82(2-3), pp.548-566.</w:t>
      </w:r>
    </w:p>
    <w:p w14:paraId="383E27A5"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Kirk, D., Oettingen, G. and Gollwitzer, P., 2013. Promoting integrative bargaining: mental contrasting with implementation intentions. </w:t>
      </w:r>
      <w:r w:rsidRPr="00564493">
        <w:rPr>
          <w:i/>
          <w:iCs/>
          <w:color w:val="000000"/>
          <w:sz w:val="20"/>
          <w:szCs w:val="20"/>
        </w:rPr>
        <w:t>International Journal of Conflict Management</w:t>
      </w:r>
      <w:r w:rsidRPr="00564493">
        <w:rPr>
          <w:color w:val="000000"/>
          <w:sz w:val="20"/>
          <w:szCs w:val="20"/>
        </w:rPr>
        <w:t>, 24(2), pp.148-165.</w:t>
      </w:r>
    </w:p>
    <w:p w14:paraId="4383B650" w14:textId="77777777" w:rsidR="00084B77" w:rsidRPr="00564493" w:rsidRDefault="00084B77" w:rsidP="00084B77">
      <w:pPr>
        <w:outlineLvl w:val="0"/>
        <w:rPr>
          <w:color w:val="000000" w:themeColor="text1"/>
          <w:sz w:val="20"/>
          <w:szCs w:val="20"/>
        </w:rPr>
      </w:pPr>
      <w:r w:rsidRPr="00564493">
        <w:rPr>
          <w:color w:val="000000" w:themeColor="text1"/>
          <w:sz w:val="20"/>
          <w:szCs w:val="20"/>
        </w:rPr>
        <w:t>Klein, B. and Leffler, K., 1981. The Role of Market Forces in Assuring Contractual</w:t>
      </w:r>
    </w:p>
    <w:p w14:paraId="2EF5FEF1" w14:textId="77777777" w:rsidR="00084B77" w:rsidRPr="00564493" w:rsidRDefault="00084B77" w:rsidP="00084B77">
      <w:pPr>
        <w:ind w:left="-288" w:firstLine="720"/>
        <w:rPr>
          <w:color w:val="000000" w:themeColor="text1"/>
          <w:sz w:val="20"/>
          <w:szCs w:val="20"/>
        </w:rPr>
      </w:pPr>
      <w:r w:rsidRPr="00564493">
        <w:rPr>
          <w:color w:val="000000" w:themeColor="text1"/>
          <w:sz w:val="20"/>
          <w:szCs w:val="20"/>
        </w:rPr>
        <w:t xml:space="preserve">Performance. </w:t>
      </w:r>
      <w:r w:rsidRPr="00564493">
        <w:rPr>
          <w:i/>
          <w:color w:val="000000" w:themeColor="text1"/>
          <w:sz w:val="20"/>
          <w:szCs w:val="20"/>
        </w:rPr>
        <w:t>Journal of Political Economy</w:t>
      </w:r>
      <w:r w:rsidRPr="00564493">
        <w:rPr>
          <w:color w:val="000000" w:themeColor="text1"/>
          <w:sz w:val="20"/>
          <w:szCs w:val="20"/>
        </w:rPr>
        <w:t>, 89(4), pp.615-641.</w:t>
      </w:r>
    </w:p>
    <w:p w14:paraId="2E424243" w14:textId="77777777" w:rsidR="00084B77" w:rsidRPr="00564493" w:rsidRDefault="00084B77" w:rsidP="00084B77">
      <w:pPr>
        <w:ind w:firstLine="720"/>
        <w:rPr>
          <w:color w:val="000000" w:themeColor="text1"/>
          <w:sz w:val="20"/>
          <w:szCs w:val="20"/>
        </w:rPr>
      </w:pPr>
    </w:p>
    <w:p w14:paraId="3EF4CE98"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Korobkin, R. and Guthrie, C., 1994. Psychological Barriers to Litigation Settlement: An Experimental Approach. </w:t>
      </w:r>
      <w:r w:rsidRPr="00564493">
        <w:rPr>
          <w:i/>
          <w:iCs/>
          <w:color w:val="000000" w:themeColor="text1"/>
          <w:sz w:val="20"/>
          <w:szCs w:val="20"/>
        </w:rPr>
        <w:t>Michigan Law Review</w:t>
      </w:r>
      <w:r w:rsidRPr="00564493">
        <w:rPr>
          <w:color w:val="000000" w:themeColor="text1"/>
          <w:sz w:val="20"/>
          <w:szCs w:val="20"/>
        </w:rPr>
        <w:t>, 93(1), p.107.</w:t>
      </w:r>
    </w:p>
    <w:p w14:paraId="50A67748" w14:textId="77777777" w:rsidR="00084B77" w:rsidRPr="00564493" w:rsidRDefault="00084B77" w:rsidP="00084B77">
      <w:pPr>
        <w:rPr>
          <w:color w:val="000000" w:themeColor="text1"/>
          <w:sz w:val="20"/>
          <w:szCs w:val="20"/>
        </w:rPr>
      </w:pPr>
      <w:r w:rsidRPr="00564493">
        <w:rPr>
          <w:color w:val="000000" w:themeColor="text1"/>
          <w:sz w:val="20"/>
          <w:szCs w:val="20"/>
        </w:rPr>
        <w:t>Korobkin, R. and Guthrie, C., 1997. Psychology, economics, and settlement: A new look at the role of</w:t>
      </w:r>
    </w:p>
    <w:p w14:paraId="1D3AEBBC" w14:textId="77777777" w:rsidR="00084B77" w:rsidRPr="00564493" w:rsidRDefault="00084B77" w:rsidP="00084B77">
      <w:pPr>
        <w:ind w:left="432"/>
        <w:rPr>
          <w:color w:val="000000" w:themeColor="text1"/>
          <w:sz w:val="20"/>
          <w:szCs w:val="20"/>
        </w:rPr>
      </w:pPr>
      <w:r w:rsidRPr="00564493">
        <w:rPr>
          <w:color w:val="000000" w:themeColor="text1"/>
          <w:sz w:val="20"/>
          <w:szCs w:val="20"/>
        </w:rPr>
        <w:t xml:space="preserve">the lawyer. </w:t>
      </w:r>
      <w:r w:rsidRPr="00564493">
        <w:rPr>
          <w:i/>
          <w:color w:val="000000" w:themeColor="text1"/>
          <w:sz w:val="20"/>
          <w:szCs w:val="20"/>
        </w:rPr>
        <w:t>Texas Law Review</w:t>
      </w:r>
      <w:r w:rsidRPr="00564493">
        <w:rPr>
          <w:color w:val="000000" w:themeColor="text1"/>
          <w:sz w:val="20"/>
          <w:szCs w:val="20"/>
        </w:rPr>
        <w:t>, 76.</w:t>
      </w:r>
    </w:p>
    <w:p w14:paraId="78725852" w14:textId="77777777" w:rsidR="00084B77" w:rsidRPr="00564493" w:rsidRDefault="00084B77" w:rsidP="00084B77">
      <w:pPr>
        <w:rPr>
          <w:rFonts w:eastAsia="Times New Roman"/>
          <w:color w:val="000000" w:themeColor="text1"/>
          <w:sz w:val="20"/>
          <w:szCs w:val="20"/>
          <w:shd w:val="clear" w:color="auto" w:fill="FFFFFF"/>
        </w:rPr>
      </w:pPr>
    </w:p>
    <w:p w14:paraId="55B33780"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Korobkin, R., 2020. Behavioral Ethics, Deception, and Legal Negotiation. </w:t>
      </w:r>
      <w:r w:rsidRPr="00564493">
        <w:rPr>
          <w:i/>
          <w:iCs/>
          <w:color w:val="000000" w:themeColor="text1"/>
          <w:sz w:val="20"/>
          <w:szCs w:val="20"/>
        </w:rPr>
        <w:t>Nevada Law Journal</w:t>
      </w:r>
      <w:r w:rsidRPr="00564493">
        <w:rPr>
          <w:color w:val="000000" w:themeColor="text1"/>
          <w:sz w:val="20"/>
          <w:szCs w:val="20"/>
        </w:rPr>
        <w:t>, 20(3).</w:t>
      </w:r>
    </w:p>
    <w:p w14:paraId="0B9CC968" w14:textId="7DA0A0E9"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Kreps, D., Milgrom, P., Roberts, J. and Wilson, R., 1982. Rational cooperation in the finitely repeated prisoners' dilemma. </w:t>
      </w:r>
      <w:r w:rsidRPr="00564493">
        <w:rPr>
          <w:i/>
          <w:iCs/>
          <w:color w:val="000000"/>
          <w:sz w:val="20"/>
          <w:szCs w:val="20"/>
        </w:rPr>
        <w:t>Journal of Economic Theory</w:t>
      </w:r>
      <w:r w:rsidRPr="00564493">
        <w:rPr>
          <w:color w:val="000000"/>
          <w:sz w:val="20"/>
          <w:szCs w:val="20"/>
        </w:rPr>
        <w:t>, 27(2), pp.245-252.</w:t>
      </w:r>
    </w:p>
    <w:p w14:paraId="57651120" w14:textId="77777777" w:rsidR="00084B77" w:rsidRPr="00564493" w:rsidRDefault="00084B77" w:rsidP="00084B77">
      <w:pPr>
        <w:rPr>
          <w:color w:val="000000" w:themeColor="text1"/>
          <w:sz w:val="20"/>
          <w:szCs w:val="20"/>
        </w:rPr>
      </w:pPr>
      <w:r w:rsidRPr="00564493">
        <w:rPr>
          <w:color w:val="000000" w:themeColor="text1"/>
          <w:sz w:val="20"/>
          <w:szCs w:val="20"/>
        </w:rPr>
        <w:t>Kritzer, H., Felstiner, W., Sarat, A. and Trubek, D., 1985. The Impact of Fee Arrangement on Lawyer</w:t>
      </w:r>
    </w:p>
    <w:p w14:paraId="5B4EDA7B" w14:textId="77777777" w:rsidR="00084B77" w:rsidRPr="00564493" w:rsidRDefault="00084B77" w:rsidP="00084B77">
      <w:pPr>
        <w:ind w:left="-288" w:firstLine="720"/>
        <w:rPr>
          <w:color w:val="000000" w:themeColor="text1"/>
          <w:sz w:val="20"/>
          <w:szCs w:val="20"/>
        </w:rPr>
      </w:pPr>
      <w:r w:rsidRPr="00564493">
        <w:rPr>
          <w:color w:val="000000" w:themeColor="text1"/>
          <w:sz w:val="20"/>
          <w:szCs w:val="20"/>
        </w:rPr>
        <w:t xml:space="preserve">Effort. </w:t>
      </w:r>
      <w:r w:rsidRPr="00564493">
        <w:rPr>
          <w:i/>
          <w:color w:val="000000" w:themeColor="text1"/>
          <w:sz w:val="20"/>
          <w:szCs w:val="20"/>
        </w:rPr>
        <w:t>Law &amp; Society Review</w:t>
      </w:r>
      <w:r w:rsidRPr="00564493">
        <w:rPr>
          <w:color w:val="000000" w:themeColor="text1"/>
          <w:sz w:val="20"/>
          <w:szCs w:val="20"/>
        </w:rPr>
        <w:t>, 19(2), p.251.</w:t>
      </w:r>
    </w:p>
    <w:p w14:paraId="7B208310" w14:textId="77777777" w:rsidR="00084B77" w:rsidRPr="00564493" w:rsidRDefault="00084B77" w:rsidP="00084B77">
      <w:pPr>
        <w:ind w:left="-288" w:firstLine="720"/>
        <w:rPr>
          <w:color w:val="000000" w:themeColor="text1"/>
          <w:sz w:val="20"/>
          <w:szCs w:val="20"/>
        </w:rPr>
      </w:pPr>
    </w:p>
    <w:p w14:paraId="2950E99C"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Krockow, E., Colman, A. and Pulford, B., 2016. Cooperation in repeated interactions: A systematic review of Centipede game experiments, 1992–2016. </w:t>
      </w:r>
      <w:r w:rsidRPr="00564493">
        <w:rPr>
          <w:i/>
          <w:iCs/>
          <w:color w:val="000000" w:themeColor="text1"/>
          <w:sz w:val="20"/>
          <w:szCs w:val="20"/>
        </w:rPr>
        <w:t>European Review of Social Psychology</w:t>
      </w:r>
      <w:r w:rsidRPr="00564493">
        <w:rPr>
          <w:color w:val="000000" w:themeColor="text1"/>
          <w:sz w:val="20"/>
          <w:szCs w:val="20"/>
        </w:rPr>
        <w:t>, 27(1), pp.231-282.</w:t>
      </w:r>
    </w:p>
    <w:p w14:paraId="201ED59F" w14:textId="77777777" w:rsidR="00084B77" w:rsidRPr="00564493" w:rsidRDefault="00084B77" w:rsidP="00084B77">
      <w:pPr>
        <w:rPr>
          <w:color w:val="000000" w:themeColor="text1"/>
          <w:sz w:val="20"/>
          <w:szCs w:val="20"/>
        </w:rPr>
      </w:pPr>
      <w:r w:rsidRPr="00564493">
        <w:rPr>
          <w:color w:val="000000" w:themeColor="text1"/>
          <w:sz w:val="20"/>
          <w:szCs w:val="20"/>
        </w:rPr>
        <w:t xml:space="preserve">Laffont, J. and Martimort, D., 2002. </w:t>
      </w:r>
      <w:r w:rsidRPr="00564493">
        <w:rPr>
          <w:i/>
          <w:color w:val="000000" w:themeColor="text1"/>
          <w:sz w:val="20"/>
          <w:szCs w:val="20"/>
        </w:rPr>
        <w:t>The Theory of Incentives: The Principal-Agent Model</w:t>
      </w:r>
      <w:r w:rsidRPr="00564493">
        <w:rPr>
          <w:color w:val="000000" w:themeColor="text1"/>
          <w:sz w:val="20"/>
          <w:szCs w:val="20"/>
        </w:rPr>
        <w:t>. Princeton</w:t>
      </w:r>
    </w:p>
    <w:p w14:paraId="59F60755" w14:textId="77777777" w:rsidR="00084B77" w:rsidRPr="00564493" w:rsidRDefault="00084B77" w:rsidP="00084B77">
      <w:pPr>
        <w:ind w:left="-288" w:firstLine="720"/>
        <w:rPr>
          <w:color w:val="000000" w:themeColor="text1"/>
          <w:sz w:val="20"/>
          <w:szCs w:val="20"/>
        </w:rPr>
      </w:pPr>
      <w:r w:rsidRPr="00564493">
        <w:rPr>
          <w:color w:val="000000" w:themeColor="text1"/>
          <w:sz w:val="20"/>
          <w:szCs w:val="20"/>
        </w:rPr>
        <w:t>and Oxford: Princeton University Press.</w:t>
      </w:r>
    </w:p>
    <w:p w14:paraId="38084AF2" w14:textId="77777777" w:rsidR="003A2F6A" w:rsidRPr="00564493" w:rsidRDefault="003A2F6A" w:rsidP="00084B77">
      <w:pPr>
        <w:ind w:left="-288" w:firstLine="720"/>
        <w:rPr>
          <w:color w:val="000000" w:themeColor="text1"/>
          <w:sz w:val="20"/>
          <w:szCs w:val="20"/>
        </w:rPr>
      </w:pPr>
    </w:p>
    <w:p w14:paraId="4E842829"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Langevoort, D. and Rasmussen, R., 1997. Skewing the Results: The Role of Lawyers in Transmitting Legal Rules. </w:t>
      </w:r>
      <w:r w:rsidRPr="00564493">
        <w:rPr>
          <w:i/>
          <w:iCs/>
          <w:color w:val="000000" w:themeColor="text1"/>
          <w:sz w:val="20"/>
          <w:szCs w:val="20"/>
        </w:rPr>
        <w:t>Southern California Interdisciplinary Law Journal</w:t>
      </w:r>
      <w:r w:rsidRPr="00564493">
        <w:rPr>
          <w:color w:val="000000" w:themeColor="text1"/>
          <w:sz w:val="20"/>
          <w:szCs w:val="20"/>
        </w:rPr>
        <w:t>, 5, pp.375-440.</w:t>
      </w:r>
    </w:p>
    <w:p w14:paraId="3F059665"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Langton, L. and Cohen, T., 2008. </w:t>
      </w:r>
      <w:r w:rsidRPr="00564493">
        <w:rPr>
          <w:i/>
          <w:iCs/>
          <w:color w:val="000000" w:themeColor="text1"/>
          <w:sz w:val="20"/>
          <w:szCs w:val="20"/>
        </w:rPr>
        <w:t>Civil Bench and Jury Trials in State Courts, 2005</w:t>
      </w:r>
      <w:r w:rsidRPr="00564493">
        <w:rPr>
          <w:color w:val="000000" w:themeColor="text1"/>
          <w:sz w:val="20"/>
          <w:szCs w:val="20"/>
        </w:rPr>
        <w:t>. Special Report No. 223851. Washington, DC: Bureau of Justice Statistics.</w:t>
      </w:r>
    </w:p>
    <w:p w14:paraId="1F6495A2" w14:textId="77777777" w:rsidR="00084B77" w:rsidRPr="00564493" w:rsidRDefault="00084B77" w:rsidP="00084B77">
      <w:pPr>
        <w:rPr>
          <w:color w:val="000000" w:themeColor="text1"/>
          <w:sz w:val="20"/>
          <w:szCs w:val="20"/>
        </w:rPr>
      </w:pPr>
      <w:r w:rsidRPr="00564493">
        <w:rPr>
          <w:color w:val="000000" w:themeColor="text1"/>
          <w:sz w:val="20"/>
          <w:szCs w:val="20"/>
        </w:rPr>
        <w:t xml:space="preserve">Lax, D. and Sebenius, J., 1986. </w:t>
      </w:r>
      <w:r w:rsidRPr="00564493">
        <w:rPr>
          <w:i/>
          <w:color w:val="000000" w:themeColor="text1"/>
          <w:sz w:val="20"/>
          <w:szCs w:val="20"/>
        </w:rPr>
        <w:t>The Manager as Negotiator</w:t>
      </w:r>
      <w:r w:rsidRPr="00564493">
        <w:rPr>
          <w:color w:val="000000" w:themeColor="text1"/>
          <w:sz w:val="20"/>
          <w:szCs w:val="20"/>
        </w:rPr>
        <w:t>. Simon and Schuster.</w:t>
      </w:r>
    </w:p>
    <w:p w14:paraId="70CD37A6" w14:textId="77777777" w:rsidR="00084B77" w:rsidRPr="00564493" w:rsidRDefault="00084B77" w:rsidP="00084B77">
      <w:pPr>
        <w:rPr>
          <w:color w:val="000000" w:themeColor="text1"/>
          <w:sz w:val="20"/>
          <w:szCs w:val="20"/>
        </w:rPr>
      </w:pPr>
    </w:p>
    <w:p w14:paraId="0BDCC64E"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Lax, D. and Sebenius, J., 1991. Negotiating Through an Agent. </w:t>
      </w:r>
      <w:r w:rsidRPr="00564493">
        <w:rPr>
          <w:i/>
          <w:iCs/>
          <w:color w:val="000000" w:themeColor="text1"/>
          <w:sz w:val="20"/>
          <w:szCs w:val="20"/>
        </w:rPr>
        <w:t>Journal of Conflict Resolution</w:t>
      </w:r>
      <w:r w:rsidRPr="00564493">
        <w:rPr>
          <w:color w:val="000000" w:themeColor="text1"/>
          <w:sz w:val="20"/>
          <w:szCs w:val="20"/>
        </w:rPr>
        <w:t>, 35(3), pp.474-493.</w:t>
      </w:r>
    </w:p>
    <w:p w14:paraId="1C72D0E4"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Lee, S. and Thompson, L., 2011. Do agents negotiate for the best (or worst) interest of principals? Secure, anxious and avoidant principal–agent attachment. </w:t>
      </w:r>
      <w:r w:rsidRPr="00564493">
        <w:rPr>
          <w:i/>
          <w:iCs/>
          <w:color w:val="000000"/>
          <w:sz w:val="20"/>
          <w:szCs w:val="20"/>
        </w:rPr>
        <w:t>Journal of Experimental Social Psychology</w:t>
      </w:r>
      <w:r w:rsidRPr="00564493">
        <w:rPr>
          <w:color w:val="000000"/>
          <w:sz w:val="20"/>
          <w:szCs w:val="20"/>
        </w:rPr>
        <w:t>, 47(3), pp.681-684.</w:t>
      </w:r>
    </w:p>
    <w:p w14:paraId="435DE5E8" w14:textId="6AD5DCFE" w:rsidR="00EA15F3" w:rsidRPr="00564493" w:rsidRDefault="005A0E14" w:rsidP="005A0E14">
      <w:pPr>
        <w:pStyle w:val="NormalWeb"/>
        <w:spacing w:before="0" w:beforeAutospacing="0" w:after="180" w:afterAutospacing="0"/>
        <w:ind w:left="450" w:hanging="450"/>
        <w:rPr>
          <w:color w:val="000000"/>
          <w:sz w:val="20"/>
          <w:szCs w:val="20"/>
        </w:rPr>
      </w:pPr>
      <w:r w:rsidRPr="00564493">
        <w:rPr>
          <w:color w:val="000000"/>
          <w:sz w:val="20"/>
          <w:szCs w:val="20"/>
        </w:rPr>
        <w:t>Lerman, L., 2002. The Slippery Slope from Ambition to Greed to Dishonesty: Lawyers, Money, and Professional Integrity. </w:t>
      </w:r>
      <w:r w:rsidRPr="00564493">
        <w:rPr>
          <w:i/>
          <w:iCs/>
          <w:color w:val="000000"/>
          <w:sz w:val="20"/>
          <w:szCs w:val="20"/>
        </w:rPr>
        <w:t>Hofstra Law Review</w:t>
      </w:r>
      <w:r w:rsidRPr="00564493">
        <w:rPr>
          <w:color w:val="000000"/>
          <w:sz w:val="20"/>
          <w:szCs w:val="20"/>
        </w:rPr>
        <w:t>, 30(3).</w:t>
      </w:r>
    </w:p>
    <w:p w14:paraId="3966BC68" w14:textId="77777777" w:rsidR="00084B77" w:rsidRPr="00564493" w:rsidRDefault="00084B77" w:rsidP="00084B77">
      <w:pPr>
        <w:rPr>
          <w:sz w:val="20"/>
          <w:szCs w:val="20"/>
        </w:rPr>
      </w:pPr>
      <w:r w:rsidRPr="00564493">
        <w:rPr>
          <w:sz w:val="20"/>
          <w:szCs w:val="20"/>
        </w:rPr>
        <w:t xml:space="preserve">Levitt, S., List, J. and Sadoff, S., 2011. Checkmate: Exploring Backward Induction among Chess Players. </w:t>
      </w:r>
    </w:p>
    <w:p w14:paraId="3556ADD6" w14:textId="77777777" w:rsidR="00084B77" w:rsidRPr="00564493" w:rsidRDefault="00084B77" w:rsidP="00084B77">
      <w:pPr>
        <w:ind w:firstLine="450"/>
        <w:rPr>
          <w:sz w:val="20"/>
          <w:szCs w:val="20"/>
        </w:rPr>
      </w:pPr>
      <w:r w:rsidRPr="00564493">
        <w:rPr>
          <w:i/>
          <w:sz w:val="20"/>
          <w:szCs w:val="20"/>
        </w:rPr>
        <w:t>American Economic Review</w:t>
      </w:r>
      <w:r w:rsidRPr="00564493">
        <w:rPr>
          <w:sz w:val="20"/>
          <w:szCs w:val="20"/>
        </w:rPr>
        <w:t>, 101(2), pp.975-990.</w:t>
      </w:r>
    </w:p>
    <w:p w14:paraId="5957AC3A" w14:textId="77777777" w:rsidR="00084B77" w:rsidRPr="00564493" w:rsidRDefault="00084B77" w:rsidP="00084B77">
      <w:pPr>
        <w:ind w:firstLine="450"/>
        <w:rPr>
          <w:sz w:val="20"/>
          <w:szCs w:val="20"/>
        </w:rPr>
      </w:pPr>
    </w:p>
    <w:p w14:paraId="137723D6"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Loewenstein, G., Issacharoff, S., Camerer, C. and Babcock, L., 1993. Self-Serving Assessments of Fairness and Pretrial Bargaining. </w:t>
      </w:r>
      <w:r w:rsidRPr="00564493">
        <w:rPr>
          <w:i/>
          <w:iCs/>
          <w:color w:val="000000" w:themeColor="text1"/>
          <w:sz w:val="20"/>
          <w:szCs w:val="20"/>
        </w:rPr>
        <w:t>The Journal of Legal Studies</w:t>
      </w:r>
      <w:r w:rsidRPr="00564493">
        <w:rPr>
          <w:color w:val="000000" w:themeColor="text1"/>
          <w:sz w:val="20"/>
          <w:szCs w:val="20"/>
        </w:rPr>
        <w:t>, 22(1), pp.135-159.</w:t>
      </w:r>
    </w:p>
    <w:p w14:paraId="5CA67865" w14:textId="77777777" w:rsidR="00084B77" w:rsidRPr="00564493" w:rsidRDefault="00084B77" w:rsidP="00084B77">
      <w:pPr>
        <w:spacing w:after="180"/>
        <w:ind w:left="450" w:hanging="450"/>
        <w:rPr>
          <w:color w:val="000000"/>
          <w:sz w:val="20"/>
          <w:szCs w:val="20"/>
        </w:rPr>
      </w:pPr>
      <w:r w:rsidRPr="00564493">
        <w:rPr>
          <w:color w:val="000000"/>
          <w:sz w:val="20"/>
          <w:szCs w:val="20"/>
        </w:rPr>
        <w:t>Loewenstein, G., Thompson, L. and Bazerman, M., 1989. Social utility and decision making in interpersonal contexts. </w:t>
      </w:r>
      <w:r w:rsidRPr="00564493">
        <w:rPr>
          <w:i/>
          <w:iCs/>
          <w:color w:val="000000"/>
          <w:sz w:val="20"/>
          <w:szCs w:val="20"/>
        </w:rPr>
        <w:t>Journal of Personality and Social Psychology</w:t>
      </w:r>
      <w:r w:rsidRPr="00564493">
        <w:rPr>
          <w:color w:val="000000"/>
          <w:sz w:val="20"/>
          <w:szCs w:val="20"/>
        </w:rPr>
        <w:t>, 57(3), pp.426-441.</w:t>
      </w:r>
    </w:p>
    <w:p w14:paraId="7965A89C"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Maccoby, E. and Mnookin, R., 1992. </w:t>
      </w:r>
      <w:r w:rsidRPr="00564493">
        <w:rPr>
          <w:i/>
          <w:iCs/>
          <w:color w:val="000000" w:themeColor="text1"/>
          <w:sz w:val="20"/>
          <w:szCs w:val="20"/>
        </w:rPr>
        <w:t>Dividing the Child: Social and Legal Dilemmas of Custody</w:t>
      </w:r>
      <w:r w:rsidRPr="00564493">
        <w:rPr>
          <w:color w:val="000000" w:themeColor="text1"/>
          <w:sz w:val="20"/>
          <w:szCs w:val="20"/>
        </w:rPr>
        <w:t>. Cambridge, Massachusetts and London, England: Harvard University Press.</w:t>
      </w:r>
    </w:p>
    <w:p w14:paraId="4C02546B"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Macfie, A., 2003. </w:t>
      </w:r>
      <w:r w:rsidRPr="00564493">
        <w:rPr>
          <w:i/>
          <w:iCs/>
          <w:color w:val="000000" w:themeColor="text1"/>
          <w:sz w:val="20"/>
          <w:szCs w:val="20"/>
        </w:rPr>
        <w:t>The Individual in Society: Papers on Adam Smith</w:t>
      </w:r>
      <w:r w:rsidRPr="00564493">
        <w:rPr>
          <w:color w:val="000000" w:themeColor="text1"/>
          <w:sz w:val="20"/>
          <w:szCs w:val="20"/>
        </w:rPr>
        <w:t>. New York: Taylor &amp; Francis Group.</w:t>
      </w:r>
    </w:p>
    <w:p w14:paraId="106D6E82"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Mather, L., 2003. What do clients want-what do lawyers do. Emory LJ, 52, pp.1065-1086.</w:t>
      </w:r>
    </w:p>
    <w:p w14:paraId="4827FE5A" w14:textId="0D48FB19" w:rsidR="00130AF3" w:rsidRPr="00564493" w:rsidRDefault="00130AF3" w:rsidP="00130AF3">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Mather, L. and McEwen, C., 2012. Client Grievances and Lawyer Conduct. In: L. Mather and L. Levin, ed., Lawyers in Practice: Ethical Decision Making in Context. Chicago: The University of Chicago Press.</w:t>
      </w:r>
    </w:p>
    <w:p w14:paraId="51351857" w14:textId="77777777" w:rsidR="00084B77" w:rsidRPr="00564493" w:rsidRDefault="00084B77" w:rsidP="00084B77">
      <w:pPr>
        <w:outlineLvl w:val="0"/>
        <w:rPr>
          <w:color w:val="000000" w:themeColor="text1"/>
          <w:sz w:val="20"/>
          <w:szCs w:val="20"/>
        </w:rPr>
      </w:pPr>
      <w:r w:rsidRPr="00564493">
        <w:rPr>
          <w:color w:val="000000" w:themeColor="text1"/>
          <w:sz w:val="20"/>
          <w:szCs w:val="20"/>
        </w:rPr>
        <w:t>McAdams, R., 2009. Beyond the Prisoners' Dilemma: Coordination, Game Theory, and</w:t>
      </w:r>
    </w:p>
    <w:p w14:paraId="7CF39466" w14:textId="77777777" w:rsidR="00084B77" w:rsidRPr="00564493" w:rsidRDefault="00084B77" w:rsidP="00084B77">
      <w:pPr>
        <w:ind w:firstLine="450"/>
        <w:rPr>
          <w:color w:val="000000" w:themeColor="text1"/>
          <w:sz w:val="20"/>
          <w:szCs w:val="20"/>
        </w:rPr>
      </w:pPr>
      <w:r w:rsidRPr="00564493">
        <w:rPr>
          <w:color w:val="000000" w:themeColor="text1"/>
          <w:sz w:val="20"/>
          <w:szCs w:val="20"/>
        </w:rPr>
        <w:t xml:space="preserve">Law. </w:t>
      </w:r>
      <w:r w:rsidRPr="00564493">
        <w:rPr>
          <w:i/>
          <w:color w:val="000000" w:themeColor="text1"/>
          <w:sz w:val="20"/>
          <w:szCs w:val="20"/>
        </w:rPr>
        <w:t>Southern California Law Review</w:t>
      </w:r>
      <w:r w:rsidRPr="00564493">
        <w:rPr>
          <w:color w:val="000000" w:themeColor="text1"/>
          <w:sz w:val="20"/>
          <w:szCs w:val="20"/>
        </w:rPr>
        <w:t>, 82(209).</w:t>
      </w:r>
    </w:p>
    <w:p w14:paraId="2791023F" w14:textId="77777777" w:rsidR="00084B77" w:rsidRPr="00564493" w:rsidRDefault="00084B77" w:rsidP="00084B77">
      <w:pPr>
        <w:ind w:firstLine="450"/>
        <w:rPr>
          <w:color w:val="000000" w:themeColor="text1"/>
          <w:sz w:val="20"/>
          <w:szCs w:val="20"/>
        </w:rPr>
      </w:pPr>
    </w:p>
    <w:p w14:paraId="010FE1AA"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McClintock, C., 1972. Game Behaviour and Social Motivation in Interpersonal Settings. In: C. McClintock, ed., </w:t>
      </w:r>
      <w:r w:rsidRPr="00564493">
        <w:rPr>
          <w:i/>
          <w:iCs/>
          <w:color w:val="000000"/>
          <w:sz w:val="20"/>
          <w:szCs w:val="20"/>
        </w:rPr>
        <w:t>Experimental Social Psychology</w:t>
      </w:r>
      <w:r w:rsidRPr="00564493">
        <w:rPr>
          <w:color w:val="000000"/>
          <w:sz w:val="20"/>
          <w:szCs w:val="20"/>
        </w:rPr>
        <w:t>. New York: Holt, Rinehart &amp; Winston, pp.271-297.</w:t>
      </w:r>
    </w:p>
    <w:p w14:paraId="6F6AF35B" w14:textId="4D8B6DED" w:rsidR="00226585" w:rsidRPr="00564493" w:rsidRDefault="00084B77" w:rsidP="00DA1A21">
      <w:pPr>
        <w:spacing w:after="180"/>
        <w:ind w:left="450" w:hanging="450"/>
        <w:rPr>
          <w:color w:val="000000" w:themeColor="text1"/>
          <w:sz w:val="20"/>
          <w:szCs w:val="20"/>
        </w:rPr>
      </w:pPr>
      <w:r w:rsidRPr="00564493">
        <w:rPr>
          <w:color w:val="000000" w:themeColor="text1"/>
          <w:sz w:val="20"/>
          <w:szCs w:val="20"/>
        </w:rPr>
        <w:t>McKee, M., Santore, R. and Shelton, J., 2007. Contingent Fees, Moral Hazard, and Attorney Rents: A Laboratory Experiment. </w:t>
      </w:r>
      <w:r w:rsidRPr="00564493">
        <w:rPr>
          <w:i/>
          <w:iCs/>
          <w:color w:val="000000" w:themeColor="text1"/>
          <w:sz w:val="20"/>
          <w:szCs w:val="20"/>
        </w:rPr>
        <w:t>The Journal of Legal Studies</w:t>
      </w:r>
      <w:r w:rsidRPr="00564493">
        <w:rPr>
          <w:color w:val="000000" w:themeColor="text1"/>
          <w:sz w:val="20"/>
          <w:szCs w:val="20"/>
        </w:rPr>
        <w:t>, 36(2), pp.253-273.</w:t>
      </w:r>
    </w:p>
    <w:p w14:paraId="0EF20016" w14:textId="77777777" w:rsidR="00084B77" w:rsidRPr="00564493" w:rsidRDefault="00084B77" w:rsidP="00084B77">
      <w:pPr>
        <w:rPr>
          <w:color w:val="000000" w:themeColor="text1"/>
          <w:sz w:val="20"/>
          <w:szCs w:val="20"/>
        </w:rPr>
      </w:pPr>
      <w:r w:rsidRPr="00564493">
        <w:rPr>
          <w:color w:val="000000" w:themeColor="text1"/>
          <w:sz w:val="20"/>
          <w:szCs w:val="20"/>
        </w:rPr>
        <w:t xml:space="preserve">McKelvey, R. and Palfrey, T., 1992. An Experimental Study of the Centipede Game. </w:t>
      </w:r>
      <w:r w:rsidRPr="00564493">
        <w:rPr>
          <w:i/>
          <w:color w:val="000000" w:themeColor="text1"/>
          <w:sz w:val="20"/>
          <w:szCs w:val="20"/>
        </w:rPr>
        <w:t>Econometrica</w:t>
      </w:r>
      <w:r w:rsidRPr="00564493">
        <w:rPr>
          <w:color w:val="000000" w:themeColor="text1"/>
          <w:sz w:val="20"/>
          <w:szCs w:val="20"/>
        </w:rPr>
        <w:t>,</w:t>
      </w:r>
    </w:p>
    <w:p w14:paraId="74FA0FCD" w14:textId="77777777" w:rsidR="00084B77" w:rsidRPr="00564493" w:rsidRDefault="00084B77" w:rsidP="00084B77">
      <w:pPr>
        <w:ind w:left="-288" w:firstLine="720"/>
        <w:rPr>
          <w:color w:val="000000" w:themeColor="text1"/>
          <w:sz w:val="20"/>
          <w:szCs w:val="20"/>
        </w:rPr>
      </w:pPr>
      <w:r w:rsidRPr="00564493">
        <w:rPr>
          <w:color w:val="000000" w:themeColor="text1"/>
          <w:sz w:val="20"/>
          <w:szCs w:val="20"/>
        </w:rPr>
        <w:t>60(4), p.803.</w:t>
      </w:r>
    </w:p>
    <w:p w14:paraId="383D1413" w14:textId="77777777" w:rsidR="00084B77" w:rsidRPr="00564493" w:rsidRDefault="00084B77" w:rsidP="00084B77">
      <w:pPr>
        <w:rPr>
          <w:color w:val="000000" w:themeColor="text1"/>
          <w:sz w:val="20"/>
          <w:szCs w:val="20"/>
        </w:rPr>
      </w:pPr>
    </w:p>
    <w:p w14:paraId="1A37E643" w14:textId="77777777" w:rsidR="00084B77" w:rsidRPr="00564493" w:rsidRDefault="00084B77" w:rsidP="00084B77">
      <w:pPr>
        <w:outlineLvl w:val="0"/>
        <w:rPr>
          <w:i/>
          <w:sz w:val="20"/>
          <w:szCs w:val="20"/>
        </w:rPr>
      </w:pPr>
      <w:r w:rsidRPr="00564493">
        <w:rPr>
          <w:sz w:val="20"/>
          <w:szCs w:val="20"/>
        </w:rPr>
        <w:t xml:space="preserve">McKelvey, R. and Palfrey, T., 1995. Quantal Response Equilibria for Normal Form Games. </w:t>
      </w:r>
      <w:r w:rsidRPr="00564493">
        <w:rPr>
          <w:i/>
          <w:sz w:val="20"/>
          <w:szCs w:val="20"/>
        </w:rPr>
        <w:t>Games</w:t>
      </w:r>
    </w:p>
    <w:p w14:paraId="6D894525" w14:textId="77777777" w:rsidR="00084B77" w:rsidRPr="00564493" w:rsidRDefault="00084B77" w:rsidP="00084B77">
      <w:pPr>
        <w:ind w:left="-288" w:firstLine="720"/>
        <w:rPr>
          <w:sz w:val="20"/>
          <w:szCs w:val="20"/>
        </w:rPr>
      </w:pPr>
      <w:r w:rsidRPr="00564493">
        <w:rPr>
          <w:i/>
          <w:sz w:val="20"/>
          <w:szCs w:val="20"/>
        </w:rPr>
        <w:t>and Economic Behavio</w:t>
      </w:r>
      <w:r w:rsidRPr="00564493">
        <w:rPr>
          <w:sz w:val="20"/>
          <w:szCs w:val="20"/>
        </w:rPr>
        <w:t>r, 10(1), pp.6-38.</w:t>
      </w:r>
    </w:p>
    <w:p w14:paraId="462E8E1C" w14:textId="77777777" w:rsidR="00084B77" w:rsidRPr="00564493" w:rsidRDefault="00084B77" w:rsidP="00084B77">
      <w:pPr>
        <w:rPr>
          <w:sz w:val="20"/>
          <w:szCs w:val="20"/>
        </w:rPr>
      </w:pPr>
    </w:p>
    <w:p w14:paraId="030E90C8" w14:textId="77777777" w:rsidR="00084B77" w:rsidRPr="00564493" w:rsidRDefault="00084B77" w:rsidP="00084B77">
      <w:pPr>
        <w:outlineLvl w:val="0"/>
        <w:rPr>
          <w:sz w:val="20"/>
          <w:szCs w:val="20"/>
        </w:rPr>
      </w:pPr>
      <w:r w:rsidRPr="00564493">
        <w:rPr>
          <w:sz w:val="20"/>
          <w:szCs w:val="20"/>
        </w:rPr>
        <w:t>McKelvey, R. and Palfrey, T., 1998. Quantal Response Equilibria for Extensive Form</w:t>
      </w:r>
    </w:p>
    <w:p w14:paraId="60D4FC81" w14:textId="77777777" w:rsidR="00084B77" w:rsidRPr="00564493" w:rsidRDefault="00084B77" w:rsidP="00084B77">
      <w:pPr>
        <w:ind w:left="-288" w:firstLine="720"/>
        <w:rPr>
          <w:sz w:val="20"/>
          <w:szCs w:val="20"/>
        </w:rPr>
      </w:pPr>
      <w:r w:rsidRPr="00564493">
        <w:rPr>
          <w:sz w:val="20"/>
          <w:szCs w:val="20"/>
        </w:rPr>
        <w:t xml:space="preserve">Games. </w:t>
      </w:r>
      <w:r w:rsidRPr="00564493">
        <w:rPr>
          <w:i/>
          <w:sz w:val="20"/>
          <w:szCs w:val="20"/>
        </w:rPr>
        <w:t>Experimental Economics</w:t>
      </w:r>
      <w:r w:rsidRPr="00564493">
        <w:rPr>
          <w:sz w:val="20"/>
          <w:szCs w:val="20"/>
        </w:rPr>
        <w:t>, 1(1), pp.9-41.</w:t>
      </w:r>
    </w:p>
    <w:p w14:paraId="65E7D561" w14:textId="77777777" w:rsidR="00084B77" w:rsidRPr="00564493" w:rsidRDefault="00084B77" w:rsidP="00084B77">
      <w:pPr>
        <w:ind w:left="-288" w:firstLine="720"/>
        <w:rPr>
          <w:sz w:val="20"/>
          <w:szCs w:val="20"/>
        </w:rPr>
      </w:pPr>
    </w:p>
    <w:p w14:paraId="09F1C607"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McMullen, J. and Oswald, D., 2010. Why do we need a lawyer: An empirical study of divorce cases. </w:t>
      </w:r>
      <w:r w:rsidRPr="00564493">
        <w:rPr>
          <w:i/>
          <w:iCs/>
          <w:color w:val="000000"/>
          <w:sz w:val="20"/>
          <w:szCs w:val="20"/>
        </w:rPr>
        <w:t>Journal of Law and Family Studies</w:t>
      </w:r>
      <w:r w:rsidRPr="00564493">
        <w:rPr>
          <w:color w:val="000000"/>
          <w:sz w:val="20"/>
          <w:szCs w:val="20"/>
        </w:rPr>
        <w:t>, 12(1), p.74.</w:t>
      </w:r>
    </w:p>
    <w:p w14:paraId="1B46C194" w14:textId="77777777"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Metsch-Garcia, B., 2015. Eliminating Financiers from the Equation: A Call for Court-Mandated Fee Shifting in Divorces. </w:t>
      </w:r>
      <w:r w:rsidRPr="00564493">
        <w:rPr>
          <w:i/>
          <w:iCs/>
          <w:color w:val="000000"/>
          <w:sz w:val="20"/>
          <w:szCs w:val="20"/>
        </w:rPr>
        <w:t>Michigan Law Review</w:t>
      </w:r>
      <w:r w:rsidRPr="00564493">
        <w:rPr>
          <w:color w:val="000000"/>
          <w:sz w:val="20"/>
          <w:szCs w:val="20"/>
        </w:rPr>
        <w:t>, 113(7).</w:t>
      </w:r>
    </w:p>
    <w:p w14:paraId="047D05BD"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 xml:space="preserve">Miller, G., 1987. Some Agency Problems in Settlement. </w:t>
      </w:r>
      <w:r w:rsidRPr="00564493">
        <w:rPr>
          <w:i/>
          <w:color w:val="000000" w:themeColor="text1"/>
          <w:sz w:val="20"/>
          <w:szCs w:val="20"/>
        </w:rPr>
        <w:t>The Journal of Legal Studies</w:t>
      </w:r>
      <w:r w:rsidRPr="00564493">
        <w:rPr>
          <w:color w:val="000000" w:themeColor="text1"/>
          <w:sz w:val="20"/>
          <w:szCs w:val="20"/>
        </w:rPr>
        <w:t>, 16(1), pp.189-215.</w:t>
      </w:r>
    </w:p>
    <w:p w14:paraId="34FB9157" w14:textId="5A9B2D27" w:rsidR="00DA1A21" w:rsidRPr="00564493" w:rsidRDefault="00084B77" w:rsidP="00DA1A21">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Ministry of Justice, 2021. </w:t>
      </w:r>
      <w:r w:rsidRPr="00564493">
        <w:rPr>
          <w:i/>
          <w:iCs/>
          <w:color w:val="000000" w:themeColor="text1"/>
          <w:sz w:val="20"/>
          <w:szCs w:val="20"/>
        </w:rPr>
        <w:t>Family Court Statistics Quarterly: January to March 2021</w:t>
      </w:r>
      <w:r w:rsidRPr="00564493">
        <w:rPr>
          <w:color w:val="000000" w:themeColor="text1"/>
          <w:sz w:val="20"/>
          <w:szCs w:val="20"/>
        </w:rPr>
        <w:t>. Ministry of Justice.</w:t>
      </w:r>
    </w:p>
    <w:p w14:paraId="450D9435" w14:textId="4F250770"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Mnookin, R., 1985. Divorce Bargaining: The Limits on Private Ordering. </w:t>
      </w:r>
      <w:r w:rsidRPr="00564493">
        <w:rPr>
          <w:i/>
          <w:iCs/>
          <w:color w:val="000000"/>
          <w:sz w:val="20"/>
          <w:szCs w:val="20"/>
        </w:rPr>
        <w:t>University of Michigan Journal of Law Reform</w:t>
      </w:r>
      <w:r w:rsidRPr="00564493">
        <w:rPr>
          <w:color w:val="000000"/>
          <w:sz w:val="20"/>
          <w:szCs w:val="20"/>
        </w:rPr>
        <w:t>, 18.</w:t>
      </w:r>
    </w:p>
    <w:p w14:paraId="1D6F4E9F" w14:textId="11CBBFB6" w:rsidR="00084B77" w:rsidRPr="00564493" w:rsidRDefault="00DA1A21" w:rsidP="00084B77">
      <w:pPr>
        <w:outlineLvl w:val="0"/>
        <w:rPr>
          <w:color w:val="000000" w:themeColor="text1"/>
          <w:sz w:val="20"/>
          <w:szCs w:val="20"/>
        </w:rPr>
      </w:pPr>
      <w:r w:rsidRPr="00564493">
        <w:rPr>
          <w:color w:val="000000" w:themeColor="text1"/>
          <w:sz w:val="20"/>
          <w:szCs w:val="20"/>
        </w:rPr>
        <w:t>Mnookin, R</w:t>
      </w:r>
      <w:r w:rsidR="00084B77" w:rsidRPr="00564493">
        <w:rPr>
          <w:color w:val="000000" w:themeColor="text1"/>
          <w:sz w:val="20"/>
          <w:szCs w:val="20"/>
        </w:rPr>
        <w:t>., 1993. Why Negotiations Fail: An Exploration of Barriers to the Resolution of</w:t>
      </w:r>
    </w:p>
    <w:p w14:paraId="5227F716" w14:textId="77777777" w:rsidR="00084B77" w:rsidRPr="00564493" w:rsidRDefault="00084B77" w:rsidP="00084B77">
      <w:pPr>
        <w:ind w:firstLine="450"/>
        <w:rPr>
          <w:color w:val="000000" w:themeColor="text1"/>
          <w:sz w:val="20"/>
          <w:szCs w:val="20"/>
        </w:rPr>
      </w:pPr>
      <w:r w:rsidRPr="00564493">
        <w:rPr>
          <w:color w:val="000000" w:themeColor="text1"/>
          <w:sz w:val="20"/>
          <w:szCs w:val="20"/>
        </w:rPr>
        <w:t xml:space="preserve">Conflict. </w:t>
      </w:r>
      <w:r w:rsidRPr="00564493">
        <w:rPr>
          <w:i/>
          <w:color w:val="000000" w:themeColor="text1"/>
          <w:sz w:val="20"/>
          <w:szCs w:val="20"/>
        </w:rPr>
        <w:t>Ohio State Journal on Dispute Resolution</w:t>
      </w:r>
      <w:r w:rsidRPr="00564493">
        <w:rPr>
          <w:color w:val="000000" w:themeColor="text1"/>
          <w:sz w:val="20"/>
          <w:szCs w:val="20"/>
        </w:rPr>
        <w:t>, 27, pp.255-304.</w:t>
      </w:r>
    </w:p>
    <w:p w14:paraId="623EF236" w14:textId="77777777" w:rsidR="00084B77" w:rsidRPr="00564493" w:rsidRDefault="00084B77" w:rsidP="00084B77">
      <w:pPr>
        <w:rPr>
          <w:rFonts w:eastAsia="Times New Roman"/>
          <w:color w:val="000000" w:themeColor="text1"/>
          <w:sz w:val="20"/>
          <w:szCs w:val="20"/>
          <w:shd w:val="clear" w:color="auto" w:fill="FFFFFF"/>
        </w:rPr>
      </w:pPr>
    </w:p>
    <w:p w14:paraId="23DEFF0D"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Mnookin, R., 2003. Strategic Barriers to Dispute Resolution: A Comparison of Bilateral and Multilateral Negotiations. </w:t>
      </w:r>
      <w:r w:rsidRPr="00564493">
        <w:rPr>
          <w:i/>
          <w:iCs/>
          <w:color w:val="000000" w:themeColor="text1"/>
          <w:sz w:val="20"/>
          <w:szCs w:val="20"/>
        </w:rPr>
        <w:t>Journal of Institutional and Theoretical Economics</w:t>
      </w:r>
      <w:r w:rsidRPr="00564493">
        <w:rPr>
          <w:color w:val="000000" w:themeColor="text1"/>
          <w:sz w:val="20"/>
          <w:szCs w:val="20"/>
        </w:rPr>
        <w:t>, 159(1), p.209.</w:t>
      </w:r>
    </w:p>
    <w:p w14:paraId="3CEB4BBF" w14:textId="77777777" w:rsidR="00084B77" w:rsidRPr="00564493" w:rsidRDefault="00084B77" w:rsidP="00084B77">
      <w:pPr>
        <w:rPr>
          <w:i/>
          <w:color w:val="000000" w:themeColor="text1"/>
          <w:sz w:val="20"/>
          <w:szCs w:val="20"/>
        </w:rPr>
      </w:pPr>
      <w:r w:rsidRPr="00564493">
        <w:rPr>
          <w:color w:val="000000" w:themeColor="text1"/>
          <w:sz w:val="20"/>
          <w:szCs w:val="20"/>
        </w:rPr>
        <w:t xml:space="preserve">Mnookin, R., Peppet, S. and Tulumello, A., 2000. </w:t>
      </w:r>
      <w:r w:rsidRPr="00564493">
        <w:rPr>
          <w:i/>
          <w:color w:val="000000" w:themeColor="text1"/>
          <w:sz w:val="20"/>
          <w:szCs w:val="20"/>
        </w:rPr>
        <w:t>Beyond Winning: Negotiating to Create Value in</w:t>
      </w:r>
    </w:p>
    <w:p w14:paraId="29C5B6CE" w14:textId="77777777" w:rsidR="00084B77" w:rsidRPr="00564493" w:rsidRDefault="00084B77" w:rsidP="00084B77">
      <w:pPr>
        <w:ind w:firstLine="450"/>
        <w:rPr>
          <w:color w:val="000000" w:themeColor="text1"/>
          <w:sz w:val="20"/>
          <w:szCs w:val="20"/>
        </w:rPr>
      </w:pPr>
      <w:r w:rsidRPr="00564493">
        <w:rPr>
          <w:i/>
          <w:color w:val="000000" w:themeColor="text1"/>
          <w:sz w:val="20"/>
          <w:szCs w:val="20"/>
        </w:rPr>
        <w:t>Deals and Disputes</w:t>
      </w:r>
      <w:r w:rsidRPr="00564493">
        <w:rPr>
          <w:color w:val="000000" w:themeColor="text1"/>
          <w:sz w:val="20"/>
          <w:szCs w:val="20"/>
        </w:rPr>
        <w:t>. Cambridge, MA: Harvard University Press.</w:t>
      </w:r>
    </w:p>
    <w:p w14:paraId="2102BD34" w14:textId="77777777" w:rsidR="00084B77" w:rsidRPr="00564493" w:rsidRDefault="00084B77" w:rsidP="00084B77">
      <w:pPr>
        <w:ind w:firstLine="450"/>
        <w:rPr>
          <w:color w:val="000000" w:themeColor="text1"/>
          <w:sz w:val="20"/>
          <w:szCs w:val="20"/>
        </w:rPr>
      </w:pPr>
    </w:p>
    <w:p w14:paraId="0121287F"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Mnookin, R. and Kornhauser, L., 1979. Bargaining in the Shadow of the Law: The Case of Divorce. </w:t>
      </w:r>
      <w:r w:rsidRPr="00564493">
        <w:rPr>
          <w:i/>
          <w:iCs/>
          <w:color w:val="000000" w:themeColor="text1"/>
          <w:sz w:val="20"/>
          <w:szCs w:val="20"/>
        </w:rPr>
        <w:t>The Yale Law Journal</w:t>
      </w:r>
      <w:r w:rsidRPr="00564493">
        <w:rPr>
          <w:color w:val="000000" w:themeColor="text1"/>
          <w:sz w:val="20"/>
          <w:szCs w:val="20"/>
        </w:rPr>
        <w:t>, 88(5).</w:t>
      </w:r>
    </w:p>
    <w:p w14:paraId="701B30E1"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Mnookin, D. and Susskind, D., 1999. </w:t>
      </w:r>
      <w:r w:rsidRPr="00564493">
        <w:rPr>
          <w:i/>
          <w:iCs/>
          <w:color w:val="000000" w:themeColor="text1"/>
          <w:sz w:val="20"/>
          <w:szCs w:val="20"/>
        </w:rPr>
        <w:t>Negotiating on Behalf of Others</w:t>
      </w:r>
      <w:r w:rsidRPr="00564493">
        <w:rPr>
          <w:color w:val="000000" w:themeColor="text1"/>
          <w:sz w:val="20"/>
          <w:szCs w:val="20"/>
        </w:rPr>
        <w:t>. Thousand Oaks: SAGE Publications.</w:t>
      </w:r>
    </w:p>
    <w:p w14:paraId="4E872F04"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Murnighan, J., Babcock, L., Thompson, L. and Pillutla, M., 1999. The Information Dilemma in Negotiations: Effects of Experience, Incentives, and Integrative Potential. </w:t>
      </w:r>
      <w:r w:rsidRPr="00564493">
        <w:rPr>
          <w:i/>
          <w:iCs/>
          <w:color w:val="000000" w:themeColor="text1"/>
          <w:sz w:val="20"/>
          <w:szCs w:val="20"/>
        </w:rPr>
        <w:t>International Journal of Conflict Management</w:t>
      </w:r>
      <w:r w:rsidRPr="00564493">
        <w:rPr>
          <w:color w:val="000000" w:themeColor="text1"/>
          <w:sz w:val="20"/>
          <w:szCs w:val="20"/>
        </w:rPr>
        <w:t>, 10(4), pp.313-339.</w:t>
      </w:r>
    </w:p>
    <w:p w14:paraId="76340DC9" w14:textId="77777777" w:rsidR="00084B77" w:rsidRPr="00564493" w:rsidRDefault="00084B77" w:rsidP="00084B77">
      <w:pPr>
        <w:outlineLvl w:val="0"/>
        <w:rPr>
          <w:color w:val="000000" w:themeColor="text1"/>
          <w:sz w:val="20"/>
          <w:szCs w:val="20"/>
        </w:rPr>
      </w:pPr>
      <w:r w:rsidRPr="00564493">
        <w:rPr>
          <w:color w:val="000000" w:themeColor="text1"/>
          <w:sz w:val="20"/>
          <w:szCs w:val="20"/>
        </w:rPr>
        <w:t>Painter, R., 1995. Litigating on a Contingency: A Monopoly of Champions or a Market for</w:t>
      </w:r>
    </w:p>
    <w:p w14:paraId="4601C1F8" w14:textId="77777777" w:rsidR="00084B77" w:rsidRPr="00564493" w:rsidRDefault="00084B77" w:rsidP="00084B77">
      <w:pPr>
        <w:ind w:firstLine="450"/>
        <w:rPr>
          <w:color w:val="000000" w:themeColor="text1"/>
          <w:sz w:val="20"/>
          <w:szCs w:val="20"/>
        </w:rPr>
      </w:pPr>
      <w:r w:rsidRPr="00564493">
        <w:rPr>
          <w:color w:val="000000" w:themeColor="text1"/>
          <w:sz w:val="20"/>
          <w:szCs w:val="20"/>
        </w:rPr>
        <w:t xml:space="preserve">Champerty. </w:t>
      </w:r>
      <w:r w:rsidRPr="00564493">
        <w:rPr>
          <w:i/>
          <w:color w:val="000000" w:themeColor="text1"/>
          <w:sz w:val="20"/>
          <w:szCs w:val="20"/>
        </w:rPr>
        <w:t>Chicago-Kent Law Review</w:t>
      </w:r>
      <w:r w:rsidRPr="00564493">
        <w:rPr>
          <w:color w:val="000000" w:themeColor="text1"/>
          <w:sz w:val="20"/>
          <w:szCs w:val="20"/>
        </w:rPr>
        <w:t>, 71.</w:t>
      </w:r>
    </w:p>
    <w:p w14:paraId="4C7B1AF0" w14:textId="77777777" w:rsidR="00084B77" w:rsidRPr="00564493" w:rsidRDefault="00084B77" w:rsidP="00084B77">
      <w:pPr>
        <w:rPr>
          <w:color w:val="000000" w:themeColor="text1"/>
          <w:sz w:val="20"/>
          <w:szCs w:val="20"/>
        </w:rPr>
      </w:pPr>
    </w:p>
    <w:p w14:paraId="29C54CD8" w14:textId="77777777" w:rsidR="00084B77" w:rsidRPr="00564493" w:rsidRDefault="00084B77" w:rsidP="00084B77">
      <w:pPr>
        <w:rPr>
          <w:sz w:val="20"/>
          <w:szCs w:val="20"/>
        </w:rPr>
      </w:pPr>
      <w:r w:rsidRPr="00564493">
        <w:rPr>
          <w:sz w:val="20"/>
          <w:szCs w:val="20"/>
        </w:rPr>
        <w:t xml:space="preserve">Palacios-Huerta, I. and Volij, O., 2009. Field Centipedes. </w:t>
      </w:r>
      <w:r w:rsidRPr="00564493">
        <w:rPr>
          <w:i/>
          <w:sz w:val="20"/>
          <w:szCs w:val="20"/>
        </w:rPr>
        <w:t>American Economic Review</w:t>
      </w:r>
      <w:r w:rsidRPr="00564493">
        <w:rPr>
          <w:sz w:val="20"/>
          <w:szCs w:val="20"/>
        </w:rPr>
        <w:t>, 99(4),</w:t>
      </w:r>
    </w:p>
    <w:p w14:paraId="1121C447" w14:textId="77777777" w:rsidR="00084B77" w:rsidRPr="00564493" w:rsidRDefault="00084B77" w:rsidP="00084B77">
      <w:pPr>
        <w:ind w:left="-288" w:firstLine="720"/>
        <w:rPr>
          <w:sz w:val="20"/>
          <w:szCs w:val="20"/>
        </w:rPr>
      </w:pPr>
      <w:r w:rsidRPr="00564493">
        <w:rPr>
          <w:sz w:val="20"/>
          <w:szCs w:val="20"/>
        </w:rPr>
        <w:t>pp.1619-1635.</w:t>
      </w:r>
    </w:p>
    <w:p w14:paraId="7EAA0D4E" w14:textId="77777777" w:rsidR="00DA1A21" w:rsidRPr="00564493" w:rsidRDefault="00DA1A21" w:rsidP="00D17A4F">
      <w:pPr>
        <w:rPr>
          <w:sz w:val="20"/>
          <w:szCs w:val="20"/>
        </w:rPr>
      </w:pPr>
    </w:p>
    <w:p w14:paraId="06370D4E" w14:textId="77777777" w:rsidR="00084B77" w:rsidRPr="00564493" w:rsidRDefault="00084B77" w:rsidP="00084B77">
      <w:pPr>
        <w:outlineLvl w:val="0"/>
        <w:rPr>
          <w:sz w:val="20"/>
          <w:szCs w:val="20"/>
        </w:rPr>
      </w:pPr>
      <w:r w:rsidRPr="00564493">
        <w:rPr>
          <w:sz w:val="20"/>
          <w:szCs w:val="20"/>
        </w:rPr>
        <w:t>Parco, J., Rapoport, A. and Stein, W., 2002. Effects of Financial Incentives on the Breakdown of</w:t>
      </w:r>
    </w:p>
    <w:p w14:paraId="484A633B" w14:textId="78FCCC31" w:rsidR="00084B77" w:rsidRPr="00564493" w:rsidRDefault="00084B77" w:rsidP="00D17A4F">
      <w:pPr>
        <w:ind w:left="-288" w:firstLine="720"/>
        <w:rPr>
          <w:sz w:val="20"/>
          <w:szCs w:val="20"/>
        </w:rPr>
      </w:pPr>
      <w:r w:rsidRPr="00564493">
        <w:rPr>
          <w:sz w:val="20"/>
          <w:szCs w:val="20"/>
        </w:rPr>
        <w:t xml:space="preserve">Mutual Trust. </w:t>
      </w:r>
      <w:r w:rsidRPr="00564493">
        <w:rPr>
          <w:i/>
          <w:sz w:val="20"/>
          <w:szCs w:val="20"/>
        </w:rPr>
        <w:t>Psychological Science</w:t>
      </w:r>
      <w:r w:rsidRPr="00564493">
        <w:rPr>
          <w:sz w:val="20"/>
          <w:szCs w:val="20"/>
        </w:rPr>
        <w:t>, 13(3), pp.292-297.</w:t>
      </w:r>
    </w:p>
    <w:p w14:paraId="508651D9" w14:textId="77777777" w:rsidR="005A0E14" w:rsidRPr="00564493" w:rsidRDefault="005A0E14" w:rsidP="00D17A4F">
      <w:pPr>
        <w:ind w:left="-288" w:firstLine="720"/>
        <w:rPr>
          <w:sz w:val="20"/>
          <w:szCs w:val="20"/>
        </w:rPr>
      </w:pPr>
    </w:p>
    <w:p w14:paraId="7B4EFB1F" w14:textId="4F03F653" w:rsidR="00564493" w:rsidRPr="00564493" w:rsidRDefault="005A0E14" w:rsidP="00564493">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Parker, C. and Ruschena, D., 2011. The Pressures of Billable Hours: Lessons from a Survey of Billing Practices Inside Law Firms. </w:t>
      </w:r>
      <w:r w:rsidRPr="00564493">
        <w:rPr>
          <w:rFonts w:asciiTheme="minorHAnsi" w:hAnsiTheme="minorHAnsi"/>
          <w:i/>
          <w:iCs/>
          <w:color w:val="000000"/>
          <w:sz w:val="20"/>
          <w:szCs w:val="20"/>
        </w:rPr>
        <w:t>SSRN Electronic Journal</w:t>
      </w:r>
      <w:r w:rsidRPr="00564493">
        <w:rPr>
          <w:rFonts w:asciiTheme="minorHAnsi" w:hAnsiTheme="minorHAnsi"/>
          <w:color w:val="000000"/>
          <w:sz w:val="20"/>
          <w:szCs w:val="20"/>
        </w:rPr>
        <w:t>, 9(2).</w:t>
      </w:r>
    </w:p>
    <w:p w14:paraId="035BFEEA" w14:textId="71C288B8" w:rsidR="00564493" w:rsidRPr="00564493" w:rsidRDefault="00564493" w:rsidP="00564493">
      <w:pPr>
        <w:pStyle w:val="NormalWeb"/>
        <w:spacing w:before="0" w:beforeAutospacing="0" w:after="180" w:afterAutospacing="0"/>
        <w:ind w:left="450" w:hanging="450"/>
        <w:rPr>
          <w:color w:val="000000"/>
          <w:sz w:val="20"/>
          <w:szCs w:val="20"/>
        </w:rPr>
      </w:pPr>
      <w:r w:rsidRPr="00564493">
        <w:rPr>
          <w:color w:val="000000"/>
          <w:sz w:val="20"/>
          <w:szCs w:val="20"/>
        </w:rPr>
        <w:t>Polinsky, A. and Rubinfeld, D., 2003. Aligning the Interests of Lawyers and Clients. </w:t>
      </w:r>
      <w:r w:rsidRPr="00564493">
        <w:rPr>
          <w:i/>
          <w:iCs/>
          <w:color w:val="000000"/>
          <w:sz w:val="20"/>
          <w:szCs w:val="20"/>
        </w:rPr>
        <w:t>American Law and Economics Review</w:t>
      </w:r>
      <w:r w:rsidRPr="00564493">
        <w:rPr>
          <w:color w:val="000000"/>
          <w:sz w:val="20"/>
          <w:szCs w:val="20"/>
        </w:rPr>
        <w:t>, 5(1), pp.165-188.</w:t>
      </w:r>
    </w:p>
    <w:p w14:paraId="41A06B58" w14:textId="77777777" w:rsidR="00084B77" w:rsidRPr="00564493" w:rsidRDefault="00084B77" w:rsidP="00084B77">
      <w:pPr>
        <w:outlineLvl w:val="0"/>
        <w:rPr>
          <w:color w:val="000000" w:themeColor="text1"/>
          <w:sz w:val="20"/>
          <w:szCs w:val="20"/>
        </w:rPr>
      </w:pPr>
      <w:r w:rsidRPr="00564493">
        <w:rPr>
          <w:color w:val="000000" w:themeColor="text1"/>
          <w:sz w:val="20"/>
          <w:szCs w:val="20"/>
        </w:rPr>
        <w:t xml:space="preserve">Posner, R., 1986. </w:t>
      </w:r>
      <w:r w:rsidRPr="00564493">
        <w:rPr>
          <w:i/>
          <w:color w:val="000000" w:themeColor="text1"/>
          <w:sz w:val="20"/>
          <w:szCs w:val="20"/>
        </w:rPr>
        <w:t>Economic Analysis of the Law</w:t>
      </w:r>
      <w:r w:rsidRPr="00564493">
        <w:rPr>
          <w:color w:val="000000" w:themeColor="text1"/>
          <w:sz w:val="20"/>
          <w:szCs w:val="20"/>
        </w:rPr>
        <w:t>. 3rd ed. Boston: Little, Brown.</w:t>
      </w:r>
    </w:p>
    <w:p w14:paraId="4242D95F" w14:textId="77777777" w:rsidR="00084B77" w:rsidRPr="00564493" w:rsidRDefault="00084B77" w:rsidP="00084B77">
      <w:pPr>
        <w:rPr>
          <w:color w:val="000000" w:themeColor="text1"/>
          <w:sz w:val="20"/>
          <w:szCs w:val="20"/>
        </w:rPr>
      </w:pPr>
    </w:p>
    <w:p w14:paraId="1999F984" w14:textId="77777777" w:rsidR="00084B77" w:rsidRPr="00564493" w:rsidRDefault="00084B77" w:rsidP="00084B77">
      <w:pPr>
        <w:outlineLvl w:val="0"/>
        <w:rPr>
          <w:sz w:val="20"/>
          <w:szCs w:val="20"/>
        </w:rPr>
      </w:pPr>
      <w:r w:rsidRPr="00564493">
        <w:rPr>
          <w:sz w:val="20"/>
          <w:szCs w:val="20"/>
        </w:rPr>
        <w:t xml:space="preserve">Prat, A. and Rustichini, A., 2003. Games Played Through Agents. </w:t>
      </w:r>
      <w:r w:rsidRPr="00564493">
        <w:rPr>
          <w:i/>
          <w:sz w:val="20"/>
          <w:szCs w:val="20"/>
        </w:rPr>
        <w:t>Econometrica</w:t>
      </w:r>
      <w:r w:rsidRPr="00564493">
        <w:rPr>
          <w:sz w:val="20"/>
          <w:szCs w:val="20"/>
        </w:rPr>
        <w:t>, 71(4), pp.989-1026.</w:t>
      </w:r>
    </w:p>
    <w:p w14:paraId="4305F4ED" w14:textId="77777777" w:rsidR="00084B77" w:rsidRPr="00564493" w:rsidRDefault="00084B77" w:rsidP="00084B77">
      <w:pPr>
        <w:rPr>
          <w:color w:val="000000" w:themeColor="text1"/>
          <w:sz w:val="20"/>
          <w:szCs w:val="20"/>
        </w:rPr>
      </w:pPr>
    </w:p>
    <w:p w14:paraId="5691F5DF" w14:textId="77777777" w:rsidR="00084B77" w:rsidRPr="00564493" w:rsidRDefault="00084B77" w:rsidP="00084B77">
      <w:pPr>
        <w:rPr>
          <w:color w:val="000000" w:themeColor="text1"/>
          <w:sz w:val="20"/>
          <w:szCs w:val="20"/>
        </w:rPr>
      </w:pPr>
      <w:r w:rsidRPr="00564493">
        <w:rPr>
          <w:color w:val="000000" w:themeColor="text1"/>
          <w:sz w:val="20"/>
          <w:szCs w:val="20"/>
        </w:rPr>
        <w:t>Pratt, J. and Zeckhauser, R., 1985. Principals and Agents: An Overview. In: J. Pratt and R.</w:t>
      </w:r>
    </w:p>
    <w:p w14:paraId="38925AAE" w14:textId="77777777" w:rsidR="00084B77" w:rsidRPr="00564493" w:rsidRDefault="00084B77" w:rsidP="00084B77">
      <w:pPr>
        <w:ind w:firstLine="450"/>
        <w:outlineLvl w:val="0"/>
        <w:rPr>
          <w:color w:val="000000" w:themeColor="text1"/>
          <w:sz w:val="20"/>
          <w:szCs w:val="20"/>
        </w:rPr>
      </w:pPr>
      <w:r w:rsidRPr="00564493">
        <w:rPr>
          <w:color w:val="000000" w:themeColor="text1"/>
          <w:sz w:val="20"/>
          <w:szCs w:val="20"/>
        </w:rPr>
        <w:t xml:space="preserve">Zeckhauser, ed., </w:t>
      </w:r>
      <w:r w:rsidRPr="00564493">
        <w:rPr>
          <w:i/>
          <w:color w:val="000000" w:themeColor="text1"/>
          <w:sz w:val="20"/>
          <w:szCs w:val="20"/>
        </w:rPr>
        <w:t>Principals and Agents: The Structure of Business</w:t>
      </w:r>
      <w:r w:rsidRPr="00564493">
        <w:rPr>
          <w:color w:val="000000" w:themeColor="text1"/>
          <w:sz w:val="20"/>
          <w:szCs w:val="20"/>
        </w:rPr>
        <w:t>. Boston, MA: Harvard</w:t>
      </w:r>
    </w:p>
    <w:p w14:paraId="61ADA9EA" w14:textId="77777777" w:rsidR="00084B77" w:rsidRPr="00564493" w:rsidRDefault="00084B77" w:rsidP="00084B77">
      <w:pPr>
        <w:ind w:firstLine="450"/>
        <w:rPr>
          <w:color w:val="000000" w:themeColor="text1"/>
          <w:sz w:val="20"/>
          <w:szCs w:val="20"/>
        </w:rPr>
      </w:pPr>
      <w:r w:rsidRPr="00564493">
        <w:rPr>
          <w:color w:val="000000" w:themeColor="text1"/>
          <w:sz w:val="20"/>
          <w:szCs w:val="20"/>
        </w:rPr>
        <w:t>Business School Press.</w:t>
      </w:r>
    </w:p>
    <w:p w14:paraId="5E5C54A4" w14:textId="77777777" w:rsidR="00084B77" w:rsidRPr="00564493" w:rsidRDefault="00084B77" w:rsidP="00084B77">
      <w:pPr>
        <w:rPr>
          <w:color w:val="000000" w:themeColor="text1"/>
          <w:sz w:val="20"/>
          <w:szCs w:val="20"/>
        </w:rPr>
      </w:pPr>
    </w:p>
    <w:p w14:paraId="1728013B"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Pruitt, D. and Rubin, J., 1986. </w:t>
      </w:r>
      <w:r w:rsidRPr="00564493">
        <w:rPr>
          <w:i/>
          <w:iCs/>
          <w:color w:val="000000" w:themeColor="text1"/>
          <w:sz w:val="20"/>
          <w:szCs w:val="20"/>
        </w:rPr>
        <w:t>Social conflict: Escalation, stalemate, and settlement</w:t>
      </w:r>
      <w:r w:rsidRPr="00564493">
        <w:rPr>
          <w:color w:val="000000" w:themeColor="text1"/>
          <w:sz w:val="20"/>
          <w:szCs w:val="20"/>
        </w:rPr>
        <w:t>. New York: McGraw-Hill.</w:t>
      </w:r>
    </w:p>
    <w:p w14:paraId="74C3EC41" w14:textId="77777777" w:rsidR="00084B77" w:rsidRPr="00564493" w:rsidRDefault="00084B77" w:rsidP="00084B77">
      <w:pPr>
        <w:rPr>
          <w:sz w:val="20"/>
          <w:szCs w:val="20"/>
        </w:rPr>
      </w:pPr>
      <w:r w:rsidRPr="00564493">
        <w:rPr>
          <w:sz w:val="20"/>
          <w:szCs w:val="20"/>
        </w:rPr>
        <w:t>Pulford, B., Colman, A., Lawrence, C. and Krockow, E., 2017. Reasons for cooperating in repeated</w:t>
      </w:r>
    </w:p>
    <w:p w14:paraId="1B4B5FD1" w14:textId="77777777" w:rsidR="00084B77" w:rsidRPr="00564493" w:rsidRDefault="00084B77" w:rsidP="00084B77">
      <w:pPr>
        <w:ind w:left="-288" w:firstLine="720"/>
        <w:rPr>
          <w:sz w:val="20"/>
          <w:szCs w:val="20"/>
        </w:rPr>
      </w:pPr>
      <w:r w:rsidRPr="00564493">
        <w:rPr>
          <w:sz w:val="20"/>
          <w:szCs w:val="20"/>
        </w:rPr>
        <w:t>interactions: Social value orientations, fuzzy traces, reciprocity, and activity bias. Decision, 4(2),</w:t>
      </w:r>
    </w:p>
    <w:p w14:paraId="35A7A57A" w14:textId="77777777" w:rsidR="00084B77" w:rsidRPr="00564493" w:rsidRDefault="00084B77" w:rsidP="00084B77">
      <w:pPr>
        <w:ind w:left="432"/>
        <w:rPr>
          <w:sz w:val="20"/>
          <w:szCs w:val="20"/>
        </w:rPr>
      </w:pPr>
      <w:r w:rsidRPr="00564493">
        <w:rPr>
          <w:sz w:val="20"/>
          <w:szCs w:val="20"/>
        </w:rPr>
        <w:t>pp.102-122.</w:t>
      </w:r>
    </w:p>
    <w:p w14:paraId="7B83F6E8" w14:textId="77777777" w:rsidR="00084B77" w:rsidRPr="00564493" w:rsidRDefault="00084B77" w:rsidP="00084B77">
      <w:pPr>
        <w:rPr>
          <w:sz w:val="20"/>
          <w:szCs w:val="20"/>
        </w:rPr>
      </w:pPr>
    </w:p>
    <w:p w14:paraId="10A42E53" w14:textId="77777777" w:rsidR="00084B77" w:rsidRPr="00564493" w:rsidRDefault="00084B77" w:rsidP="00084B77">
      <w:pPr>
        <w:pStyle w:val="NormalWeb"/>
        <w:spacing w:before="0" w:beforeAutospacing="0" w:after="0" w:afterAutospacing="0"/>
        <w:ind w:left="450" w:hanging="450"/>
        <w:rPr>
          <w:rFonts w:eastAsia="Times New Roman"/>
          <w:color w:val="000000" w:themeColor="text1"/>
          <w:sz w:val="20"/>
          <w:szCs w:val="20"/>
          <w:shd w:val="clear" w:color="auto" w:fill="FFFFFF"/>
        </w:rPr>
      </w:pPr>
      <w:r w:rsidRPr="00564493">
        <w:rPr>
          <w:rFonts w:eastAsia="Times New Roman"/>
          <w:color w:val="000000" w:themeColor="text1"/>
          <w:sz w:val="20"/>
          <w:szCs w:val="20"/>
          <w:shd w:val="clear" w:color="auto" w:fill="FFFFFF"/>
        </w:rPr>
        <w:t>P'ng, I., 1983. Strategic Behavior in Suit, Settlement, and Trial. </w:t>
      </w:r>
      <w:r w:rsidRPr="00564493">
        <w:rPr>
          <w:rFonts w:eastAsia="Times New Roman"/>
          <w:i/>
          <w:iCs/>
          <w:color w:val="000000" w:themeColor="text1"/>
          <w:sz w:val="20"/>
          <w:szCs w:val="20"/>
          <w:shd w:val="clear" w:color="auto" w:fill="FFFFFF"/>
        </w:rPr>
        <w:t>The Bell Journal of Economics</w:t>
      </w:r>
      <w:r w:rsidRPr="00564493">
        <w:rPr>
          <w:rFonts w:eastAsia="Times New Roman"/>
          <w:color w:val="000000" w:themeColor="text1"/>
          <w:sz w:val="20"/>
          <w:szCs w:val="20"/>
          <w:shd w:val="clear" w:color="auto" w:fill="FFFFFF"/>
        </w:rPr>
        <w:t xml:space="preserve">, 14(2), </w:t>
      </w:r>
    </w:p>
    <w:p w14:paraId="0591EC5D" w14:textId="77777777" w:rsidR="00084B77" w:rsidRPr="00564493" w:rsidRDefault="00084B77" w:rsidP="00084B77">
      <w:pPr>
        <w:pStyle w:val="NormalWeb"/>
        <w:spacing w:before="0" w:beforeAutospacing="0" w:after="0" w:afterAutospacing="0"/>
        <w:ind w:left="450"/>
        <w:rPr>
          <w:rFonts w:eastAsia="Times New Roman"/>
          <w:color w:val="000000" w:themeColor="text1"/>
          <w:sz w:val="20"/>
          <w:szCs w:val="20"/>
          <w:shd w:val="clear" w:color="auto" w:fill="FFFFFF"/>
        </w:rPr>
      </w:pPr>
      <w:r w:rsidRPr="00564493">
        <w:rPr>
          <w:rFonts w:eastAsia="Times New Roman"/>
          <w:color w:val="000000" w:themeColor="text1"/>
          <w:sz w:val="20"/>
          <w:szCs w:val="20"/>
          <w:shd w:val="clear" w:color="auto" w:fill="FFFFFF"/>
        </w:rPr>
        <w:t>pp.539-550.</w:t>
      </w:r>
    </w:p>
    <w:p w14:paraId="4A2566D4" w14:textId="77777777" w:rsidR="00084B77" w:rsidRPr="00564493" w:rsidRDefault="00084B77" w:rsidP="00084B77">
      <w:pPr>
        <w:pStyle w:val="NormalWeb"/>
        <w:spacing w:before="0" w:beforeAutospacing="0" w:after="0" w:afterAutospacing="0"/>
        <w:ind w:left="450"/>
        <w:rPr>
          <w:color w:val="000000" w:themeColor="text1"/>
          <w:sz w:val="20"/>
          <w:szCs w:val="20"/>
        </w:rPr>
      </w:pPr>
    </w:p>
    <w:p w14:paraId="17E6B1F4"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Rachlinski, J. and Wistrich, A., 2013. How Lawyers’ Intuitions Prolong Litigation. </w:t>
      </w:r>
      <w:r w:rsidRPr="00564493">
        <w:rPr>
          <w:i/>
          <w:iCs/>
          <w:color w:val="000000" w:themeColor="text1"/>
          <w:sz w:val="20"/>
          <w:szCs w:val="20"/>
        </w:rPr>
        <w:t>Southern California Law Review</w:t>
      </w:r>
      <w:r w:rsidRPr="00564493">
        <w:rPr>
          <w:color w:val="000000" w:themeColor="text1"/>
          <w:sz w:val="20"/>
          <w:szCs w:val="20"/>
        </w:rPr>
        <w:t>, 86.</w:t>
      </w:r>
    </w:p>
    <w:p w14:paraId="08459671"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Raphael, D., 2007. </w:t>
      </w:r>
      <w:r w:rsidRPr="00564493">
        <w:rPr>
          <w:i/>
          <w:iCs/>
          <w:color w:val="000000" w:themeColor="text1"/>
          <w:sz w:val="20"/>
          <w:szCs w:val="20"/>
        </w:rPr>
        <w:t>The Impartial Spectator: Adam Smith's Moral Philosophy</w:t>
      </w:r>
      <w:r w:rsidRPr="00564493">
        <w:rPr>
          <w:color w:val="000000" w:themeColor="text1"/>
          <w:sz w:val="20"/>
          <w:szCs w:val="20"/>
        </w:rPr>
        <w:t>. Oxford: Clarendon Press.</w:t>
      </w:r>
    </w:p>
    <w:p w14:paraId="70A91463" w14:textId="77777777" w:rsidR="00084B77" w:rsidRPr="00564493" w:rsidRDefault="00084B77" w:rsidP="00084B77">
      <w:pPr>
        <w:rPr>
          <w:sz w:val="20"/>
          <w:szCs w:val="20"/>
        </w:rPr>
      </w:pPr>
      <w:r w:rsidRPr="00564493">
        <w:rPr>
          <w:sz w:val="20"/>
          <w:szCs w:val="20"/>
        </w:rPr>
        <w:t>Rapoport, A., Stein, W., Parco, J. and Nicholas, T., 2003. Equilibrium play and adaptive learning in a</w:t>
      </w:r>
    </w:p>
    <w:p w14:paraId="218001AB" w14:textId="77777777" w:rsidR="00084B77" w:rsidRPr="00564493" w:rsidRDefault="00084B77" w:rsidP="00084B77">
      <w:pPr>
        <w:ind w:firstLine="450"/>
        <w:rPr>
          <w:sz w:val="20"/>
          <w:szCs w:val="20"/>
        </w:rPr>
      </w:pPr>
      <w:r w:rsidRPr="00564493">
        <w:rPr>
          <w:sz w:val="20"/>
          <w:szCs w:val="20"/>
        </w:rPr>
        <w:t xml:space="preserve">three-person centipede game. </w:t>
      </w:r>
      <w:r w:rsidRPr="00564493">
        <w:rPr>
          <w:i/>
          <w:sz w:val="20"/>
          <w:szCs w:val="20"/>
        </w:rPr>
        <w:t>Games and Economic Behavior</w:t>
      </w:r>
      <w:r w:rsidRPr="00564493">
        <w:rPr>
          <w:sz w:val="20"/>
          <w:szCs w:val="20"/>
        </w:rPr>
        <w:t>, 43(2), pp.239-265.</w:t>
      </w:r>
    </w:p>
    <w:p w14:paraId="46CCBF95" w14:textId="77777777" w:rsidR="00084B77" w:rsidRPr="00564493" w:rsidRDefault="00084B77" w:rsidP="00084B77">
      <w:pPr>
        <w:ind w:firstLine="450"/>
        <w:rPr>
          <w:sz w:val="20"/>
          <w:szCs w:val="20"/>
        </w:rPr>
      </w:pPr>
    </w:p>
    <w:p w14:paraId="37DE9564"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Rhode, D., 1985. Ethical Perspectives on Legal Practice. </w:t>
      </w:r>
      <w:r w:rsidRPr="00564493">
        <w:rPr>
          <w:i/>
          <w:iCs/>
          <w:color w:val="000000" w:themeColor="text1"/>
          <w:sz w:val="20"/>
          <w:szCs w:val="20"/>
        </w:rPr>
        <w:t>Stanford Law Review</w:t>
      </w:r>
      <w:r w:rsidRPr="00564493">
        <w:rPr>
          <w:color w:val="000000" w:themeColor="text1"/>
          <w:sz w:val="20"/>
          <w:szCs w:val="20"/>
        </w:rPr>
        <w:t>, 37(2), pp.589-652.</w:t>
      </w:r>
    </w:p>
    <w:p w14:paraId="118397C4" w14:textId="4874D78C" w:rsidR="002705E7" w:rsidRPr="00564493" w:rsidRDefault="002705E7" w:rsidP="002705E7">
      <w:pPr>
        <w:pStyle w:val="NormalWeb"/>
        <w:spacing w:before="0" w:beforeAutospacing="0" w:after="180" w:afterAutospacing="0"/>
        <w:ind w:left="450" w:hanging="450"/>
        <w:rPr>
          <w:color w:val="000000"/>
          <w:sz w:val="20"/>
          <w:szCs w:val="20"/>
        </w:rPr>
      </w:pPr>
      <w:r w:rsidRPr="00564493">
        <w:rPr>
          <w:color w:val="000000"/>
          <w:sz w:val="20"/>
          <w:szCs w:val="20"/>
        </w:rPr>
        <w:t>Richmond, D., 2008. For a Few Dollars More: The Perplexing Problem of Unethical Billing Practices by Lawyers. </w:t>
      </w:r>
      <w:r w:rsidRPr="00564493">
        <w:rPr>
          <w:i/>
          <w:iCs/>
          <w:color w:val="000000"/>
          <w:sz w:val="20"/>
          <w:szCs w:val="20"/>
        </w:rPr>
        <w:t>South Carolina Law Review</w:t>
      </w:r>
      <w:r w:rsidRPr="00564493">
        <w:rPr>
          <w:color w:val="000000"/>
          <w:sz w:val="20"/>
          <w:szCs w:val="20"/>
        </w:rPr>
        <w:t>, 60(1).</w:t>
      </w:r>
    </w:p>
    <w:p w14:paraId="7115E422"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Robbennolt, J., 2008. Attorneys, apologies and settlement negotiation. </w:t>
      </w:r>
      <w:r w:rsidRPr="00564493">
        <w:rPr>
          <w:i/>
          <w:iCs/>
          <w:color w:val="000000" w:themeColor="text1"/>
          <w:sz w:val="20"/>
          <w:szCs w:val="20"/>
        </w:rPr>
        <w:t>Harvard Negotiation Law Review</w:t>
      </w:r>
      <w:r w:rsidRPr="00564493">
        <w:rPr>
          <w:color w:val="000000" w:themeColor="text1"/>
          <w:sz w:val="20"/>
          <w:szCs w:val="20"/>
        </w:rPr>
        <w:t>, 13, pp.349-97.</w:t>
      </w:r>
    </w:p>
    <w:p w14:paraId="6FDDDF24"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Robbennolt, J., 2014. Litigation and Settlement. In: E. Zamir and D. Teichman, ed., </w:t>
      </w:r>
      <w:r w:rsidRPr="00564493">
        <w:rPr>
          <w:i/>
          <w:iCs/>
          <w:color w:val="000000" w:themeColor="text1"/>
          <w:sz w:val="20"/>
          <w:szCs w:val="20"/>
        </w:rPr>
        <w:t>The Oxford Handbook of Behavioral Economics and the Law</w:t>
      </w:r>
      <w:r w:rsidRPr="00564493">
        <w:rPr>
          <w:color w:val="000000" w:themeColor="text1"/>
          <w:sz w:val="20"/>
          <w:szCs w:val="20"/>
        </w:rPr>
        <w:t>. New York, NY: Oxford University Press.</w:t>
      </w:r>
    </w:p>
    <w:p w14:paraId="2DC64C69" w14:textId="77777777" w:rsidR="00084B77" w:rsidRPr="00564493" w:rsidRDefault="00084B77" w:rsidP="00084B77">
      <w:pPr>
        <w:outlineLvl w:val="0"/>
        <w:rPr>
          <w:color w:val="000000" w:themeColor="text1"/>
          <w:sz w:val="20"/>
          <w:szCs w:val="20"/>
        </w:rPr>
      </w:pPr>
      <w:r w:rsidRPr="00564493">
        <w:rPr>
          <w:color w:val="000000" w:themeColor="text1"/>
          <w:sz w:val="20"/>
          <w:szCs w:val="20"/>
        </w:rPr>
        <w:t>Rosenthal, R., 1981. Games of perfect information, predatory pricing and the chain-store</w:t>
      </w:r>
    </w:p>
    <w:p w14:paraId="287EC610" w14:textId="0B8BB796" w:rsidR="00564493" w:rsidRDefault="00084B77" w:rsidP="00564493">
      <w:pPr>
        <w:ind w:left="432"/>
        <w:rPr>
          <w:color w:val="000000" w:themeColor="text1"/>
          <w:sz w:val="20"/>
          <w:szCs w:val="20"/>
        </w:rPr>
      </w:pPr>
      <w:r w:rsidRPr="00564493">
        <w:rPr>
          <w:color w:val="000000" w:themeColor="text1"/>
          <w:sz w:val="20"/>
          <w:szCs w:val="20"/>
        </w:rPr>
        <w:t xml:space="preserve">paradox. </w:t>
      </w:r>
      <w:r w:rsidRPr="00564493">
        <w:rPr>
          <w:i/>
          <w:color w:val="000000" w:themeColor="text1"/>
          <w:sz w:val="20"/>
          <w:szCs w:val="20"/>
        </w:rPr>
        <w:t>Journal of Economic Theory</w:t>
      </w:r>
      <w:r w:rsidRPr="00564493">
        <w:rPr>
          <w:color w:val="000000" w:themeColor="text1"/>
          <w:sz w:val="20"/>
          <w:szCs w:val="20"/>
        </w:rPr>
        <w:t>, 25(1), pp.92-100.</w:t>
      </w:r>
    </w:p>
    <w:p w14:paraId="4D65B802" w14:textId="77777777" w:rsidR="00564493" w:rsidRPr="00564493" w:rsidRDefault="00564493" w:rsidP="00564493">
      <w:pPr>
        <w:ind w:left="-288" w:firstLine="720"/>
        <w:rPr>
          <w:sz w:val="20"/>
          <w:szCs w:val="20"/>
        </w:rPr>
      </w:pPr>
    </w:p>
    <w:p w14:paraId="5523947F" w14:textId="3A9F76A6" w:rsidR="00564493" w:rsidRPr="00564493" w:rsidRDefault="00564493" w:rsidP="00564493">
      <w:pPr>
        <w:pStyle w:val="NormalWeb"/>
        <w:spacing w:before="0" w:beforeAutospacing="0" w:after="180" w:afterAutospacing="0"/>
        <w:ind w:left="450" w:hanging="450"/>
        <w:rPr>
          <w:color w:val="000000"/>
          <w:sz w:val="20"/>
          <w:szCs w:val="20"/>
        </w:rPr>
      </w:pPr>
      <w:r w:rsidRPr="00564493">
        <w:rPr>
          <w:color w:val="000000"/>
          <w:sz w:val="20"/>
          <w:szCs w:val="20"/>
        </w:rPr>
        <w:t>Rounding, K., Lee, A., Jacobson, J. and Ji, L., 2012. Religion Replenishes Self-Control. </w:t>
      </w:r>
      <w:r w:rsidRPr="00564493">
        <w:rPr>
          <w:i/>
          <w:iCs/>
          <w:color w:val="000000"/>
          <w:sz w:val="20"/>
          <w:szCs w:val="20"/>
        </w:rPr>
        <w:t>Psychological Science</w:t>
      </w:r>
      <w:r w:rsidRPr="00564493">
        <w:rPr>
          <w:color w:val="000000"/>
          <w:sz w:val="20"/>
          <w:szCs w:val="20"/>
        </w:rPr>
        <w:t>, 23(6), pp.635-642.</w:t>
      </w:r>
    </w:p>
    <w:p w14:paraId="3B01F512" w14:textId="129789C3" w:rsidR="00564493" w:rsidRPr="00564493" w:rsidRDefault="00564493" w:rsidP="00564493">
      <w:pPr>
        <w:pStyle w:val="NormalWeb"/>
        <w:spacing w:before="0" w:beforeAutospacing="0" w:after="180" w:afterAutospacing="0"/>
        <w:ind w:left="450" w:hanging="450"/>
        <w:rPr>
          <w:color w:val="000000"/>
          <w:sz w:val="20"/>
          <w:szCs w:val="20"/>
        </w:rPr>
      </w:pPr>
      <w:r w:rsidRPr="00564493">
        <w:rPr>
          <w:color w:val="000000"/>
          <w:sz w:val="20"/>
          <w:szCs w:val="20"/>
        </w:rPr>
        <w:t>Rubinstein, A., 1982. Perfect Equilibrium in a Bargaining Model. </w:t>
      </w:r>
      <w:r w:rsidRPr="00564493">
        <w:rPr>
          <w:i/>
          <w:iCs/>
          <w:color w:val="000000"/>
          <w:sz w:val="20"/>
          <w:szCs w:val="20"/>
        </w:rPr>
        <w:t>Econometrica</w:t>
      </w:r>
      <w:r w:rsidRPr="00564493">
        <w:rPr>
          <w:color w:val="000000"/>
          <w:sz w:val="20"/>
          <w:szCs w:val="20"/>
        </w:rPr>
        <w:t>, 50(1), pp.97-109.</w:t>
      </w:r>
    </w:p>
    <w:p w14:paraId="333F6378"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Saito, H., 2020. The impact of lawyer fees on lawyer partisanship: the reciprocity norm may matter. </w:t>
      </w:r>
      <w:r w:rsidRPr="00564493">
        <w:rPr>
          <w:i/>
          <w:iCs/>
          <w:color w:val="000000" w:themeColor="text1"/>
          <w:sz w:val="20"/>
          <w:szCs w:val="20"/>
        </w:rPr>
        <w:t>International Journal of the Legal Profession</w:t>
      </w:r>
      <w:r w:rsidRPr="00564493">
        <w:rPr>
          <w:color w:val="000000" w:themeColor="text1"/>
          <w:sz w:val="20"/>
          <w:szCs w:val="20"/>
        </w:rPr>
        <w:t>, p.2.</w:t>
      </w:r>
    </w:p>
    <w:p w14:paraId="21D7C46B" w14:textId="77777777" w:rsidR="00084B77" w:rsidRPr="00564493" w:rsidRDefault="00084B77" w:rsidP="00084B77">
      <w:pPr>
        <w:rPr>
          <w:color w:val="000000" w:themeColor="text1"/>
          <w:sz w:val="20"/>
          <w:szCs w:val="20"/>
        </w:rPr>
      </w:pPr>
      <w:r w:rsidRPr="00564493">
        <w:rPr>
          <w:color w:val="000000" w:themeColor="text1"/>
          <w:sz w:val="20"/>
          <w:szCs w:val="20"/>
        </w:rPr>
        <w:t xml:space="preserve">Sappington, D., 1991. Incentives in Principal-Agent Relationships. </w:t>
      </w:r>
      <w:r w:rsidRPr="00564493">
        <w:rPr>
          <w:i/>
          <w:color w:val="000000" w:themeColor="text1"/>
          <w:sz w:val="20"/>
          <w:szCs w:val="20"/>
        </w:rPr>
        <w:t>Journal of Economic Perspectives</w:t>
      </w:r>
      <w:r w:rsidRPr="00564493">
        <w:rPr>
          <w:color w:val="000000" w:themeColor="text1"/>
          <w:sz w:val="20"/>
          <w:szCs w:val="20"/>
        </w:rPr>
        <w:t>,</w:t>
      </w:r>
    </w:p>
    <w:p w14:paraId="6D96FDD5" w14:textId="77777777" w:rsidR="00084B77" w:rsidRPr="00564493" w:rsidRDefault="00084B77" w:rsidP="00084B77">
      <w:pPr>
        <w:ind w:left="432"/>
        <w:rPr>
          <w:color w:val="000000" w:themeColor="text1"/>
          <w:sz w:val="20"/>
          <w:szCs w:val="20"/>
        </w:rPr>
      </w:pPr>
      <w:r w:rsidRPr="00564493">
        <w:rPr>
          <w:color w:val="000000" w:themeColor="text1"/>
          <w:sz w:val="20"/>
          <w:szCs w:val="20"/>
        </w:rPr>
        <w:t>5(2), pp.45-66.</w:t>
      </w:r>
    </w:p>
    <w:p w14:paraId="1F15E192" w14:textId="77777777" w:rsidR="00084B77" w:rsidRPr="00564493" w:rsidRDefault="00084B77" w:rsidP="00B07B0C">
      <w:pPr>
        <w:rPr>
          <w:color w:val="000000" w:themeColor="text1"/>
          <w:sz w:val="20"/>
          <w:szCs w:val="20"/>
        </w:rPr>
      </w:pPr>
    </w:p>
    <w:p w14:paraId="257B6885" w14:textId="77777777" w:rsidR="00084B77" w:rsidRPr="00564493" w:rsidRDefault="00084B77" w:rsidP="00084B77">
      <w:pPr>
        <w:outlineLvl w:val="0"/>
        <w:rPr>
          <w:color w:val="000000" w:themeColor="text1"/>
          <w:sz w:val="20"/>
          <w:szCs w:val="20"/>
        </w:rPr>
      </w:pPr>
      <w:r w:rsidRPr="00564493">
        <w:rPr>
          <w:color w:val="000000" w:themeColor="text1"/>
          <w:sz w:val="20"/>
          <w:szCs w:val="20"/>
        </w:rPr>
        <w:t xml:space="preserve">Schelling, T., 1956. An Essay on Bargaining. </w:t>
      </w:r>
      <w:r w:rsidRPr="00564493">
        <w:rPr>
          <w:i/>
          <w:color w:val="000000" w:themeColor="text1"/>
          <w:sz w:val="20"/>
          <w:szCs w:val="20"/>
        </w:rPr>
        <w:t>The American Economic Review</w:t>
      </w:r>
      <w:r w:rsidRPr="00564493">
        <w:rPr>
          <w:color w:val="000000" w:themeColor="text1"/>
          <w:sz w:val="20"/>
          <w:szCs w:val="20"/>
        </w:rPr>
        <w:t xml:space="preserve">, 46(3), pp281-306. </w:t>
      </w:r>
    </w:p>
    <w:p w14:paraId="0A657EED" w14:textId="77777777" w:rsidR="00084B77" w:rsidRPr="00564493" w:rsidRDefault="00084B77" w:rsidP="00084B77">
      <w:pPr>
        <w:rPr>
          <w:color w:val="000000" w:themeColor="text1"/>
          <w:sz w:val="20"/>
          <w:szCs w:val="20"/>
        </w:rPr>
      </w:pPr>
    </w:p>
    <w:p w14:paraId="72C2FDF2"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Schneider, A. and Mills, N., 2006. What Family Lawyers are Really Doing When They Negotiate. </w:t>
      </w:r>
      <w:r w:rsidRPr="00564493">
        <w:rPr>
          <w:i/>
          <w:iCs/>
          <w:color w:val="000000" w:themeColor="text1"/>
          <w:sz w:val="20"/>
          <w:szCs w:val="20"/>
        </w:rPr>
        <w:t>Family Court Review</w:t>
      </w:r>
      <w:r w:rsidRPr="00564493">
        <w:rPr>
          <w:color w:val="000000" w:themeColor="text1"/>
          <w:sz w:val="20"/>
          <w:szCs w:val="20"/>
        </w:rPr>
        <w:t>, 44(4), pp.612-622</w:t>
      </w:r>
    </w:p>
    <w:p w14:paraId="1D303DD3" w14:textId="77777777" w:rsidR="00084B77" w:rsidRPr="00564493" w:rsidRDefault="00084B77" w:rsidP="00084B77">
      <w:pPr>
        <w:spacing w:after="180"/>
        <w:ind w:left="450" w:hanging="450"/>
        <w:rPr>
          <w:color w:val="000000"/>
          <w:sz w:val="20"/>
          <w:szCs w:val="20"/>
        </w:rPr>
      </w:pPr>
      <w:r w:rsidRPr="00564493">
        <w:rPr>
          <w:color w:val="000000"/>
          <w:sz w:val="20"/>
          <w:szCs w:val="20"/>
        </w:rPr>
        <w:t xml:space="preserve">Schotter, A., Zheng, W. and Synder, B., 2000. Bargaining Through Agents: An Experimental Study of Delegation and Commitment. </w:t>
      </w:r>
      <w:r w:rsidRPr="00564493">
        <w:rPr>
          <w:i/>
          <w:color w:val="000000"/>
          <w:sz w:val="20"/>
          <w:szCs w:val="20"/>
        </w:rPr>
        <w:t>Games and Economic Beahviour</w:t>
      </w:r>
      <w:r w:rsidRPr="00564493">
        <w:rPr>
          <w:color w:val="000000"/>
          <w:sz w:val="20"/>
          <w:szCs w:val="20"/>
        </w:rPr>
        <w:t xml:space="preserve">, 30(2), pp.248-292. </w:t>
      </w:r>
    </w:p>
    <w:p w14:paraId="5EC0785B"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Sebenius, J., 1992. Challenging conventional explanations of international cooperation: negotiation analysis and the case of epistemic communities. </w:t>
      </w:r>
      <w:r w:rsidRPr="00564493">
        <w:rPr>
          <w:i/>
          <w:iCs/>
          <w:color w:val="000000" w:themeColor="text1"/>
          <w:sz w:val="20"/>
          <w:szCs w:val="20"/>
        </w:rPr>
        <w:t>International Organization</w:t>
      </w:r>
      <w:r w:rsidRPr="00564493">
        <w:rPr>
          <w:color w:val="000000" w:themeColor="text1"/>
          <w:sz w:val="20"/>
          <w:szCs w:val="20"/>
        </w:rPr>
        <w:t>, 46(1), pp.323-365.</w:t>
      </w:r>
    </w:p>
    <w:p w14:paraId="31DBA6E5" w14:textId="09DD4487" w:rsidR="00130AF3" w:rsidRPr="00564493" w:rsidRDefault="00130AF3" w:rsidP="00130AF3">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Seldeslachts, J., 2016. Paying by the hour: The least appealing option for clients of lawyers. </w:t>
      </w:r>
      <w:r w:rsidRPr="00564493">
        <w:rPr>
          <w:rFonts w:asciiTheme="minorHAnsi" w:hAnsiTheme="minorHAnsi"/>
          <w:i/>
          <w:iCs/>
          <w:color w:val="000000"/>
          <w:sz w:val="20"/>
          <w:szCs w:val="20"/>
        </w:rPr>
        <w:t>DIW Economic Bulletin</w:t>
      </w:r>
      <w:r w:rsidRPr="00564493">
        <w:rPr>
          <w:rFonts w:asciiTheme="minorHAnsi" w:hAnsiTheme="minorHAnsi"/>
          <w:color w:val="000000"/>
          <w:sz w:val="20"/>
          <w:szCs w:val="20"/>
        </w:rPr>
        <w:t>, 6(26/27), pp.295-299.</w:t>
      </w:r>
    </w:p>
    <w:p w14:paraId="0095E67D" w14:textId="77777777" w:rsidR="00662BF7" w:rsidRPr="00564493" w:rsidRDefault="00662BF7" w:rsidP="00662BF7">
      <w:pPr>
        <w:outlineLvl w:val="0"/>
        <w:rPr>
          <w:color w:val="000000" w:themeColor="text1"/>
          <w:sz w:val="20"/>
          <w:szCs w:val="20"/>
        </w:rPr>
      </w:pPr>
      <w:r w:rsidRPr="00564493">
        <w:rPr>
          <w:color w:val="000000" w:themeColor="text1"/>
          <w:sz w:val="20"/>
          <w:szCs w:val="20"/>
        </w:rPr>
        <w:t xml:space="preserve">Shariff, A. and Norenzayan, A., 2007. God Is Watching You: Priming God Concepts Increases Prosocial </w:t>
      </w:r>
    </w:p>
    <w:p w14:paraId="19A2409F" w14:textId="57BB812D" w:rsidR="00662BF7" w:rsidRPr="00564493" w:rsidRDefault="00662BF7" w:rsidP="00662BF7">
      <w:pPr>
        <w:ind w:firstLine="450"/>
        <w:rPr>
          <w:color w:val="000000" w:themeColor="text1"/>
          <w:sz w:val="20"/>
          <w:szCs w:val="20"/>
        </w:rPr>
      </w:pPr>
      <w:r w:rsidRPr="00564493">
        <w:rPr>
          <w:color w:val="000000" w:themeColor="text1"/>
          <w:sz w:val="20"/>
          <w:szCs w:val="20"/>
        </w:rPr>
        <w:t xml:space="preserve">Behavior in an Anonymous Economic Game. </w:t>
      </w:r>
      <w:r w:rsidRPr="00564493">
        <w:rPr>
          <w:i/>
          <w:color w:val="000000" w:themeColor="text1"/>
          <w:sz w:val="20"/>
          <w:szCs w:val="20"/>
        </w:rPr>
        <w:t>Psychological Science</w:t>
      </w:r>
      <w:r w:rsidRPr="00564493">
        <w:rPr>
          <w:color w:val="000000" w:themeColor="text1"/>
          <w:sz w:val="20"/>
          <w:szCs w:val="20"/>
        </w:rPr>
        <w:t xml:space="preserve">, 18(9), pp.803-809. </w:t>
      </w:r>
    </w:p>
    <w:p w14:paraId="4F5777D9" w14:textId="77777777" w:rsidR="00662BF7" w:rsidRPr="00564493" w:rsidRDefault="00662BF7" w:rsidP="00662BF7">
      <w:pPr>
        <w:ind w:firstLine="450"/>
        <w:rPr>
          <w:color w:val="000000" w:themeColor="text1"/>
          <w:sz w:val="20"/>
          <w:szCs w:val="20"/>
        </w:rPr>
      </w:pPr>
    </w:p>
    <w:p w14:paraId="18D61773" w14:textId="77777777" w:rsidR="00084B77" w:rsidRPr="00564493" w:rsidRDefault="00084B77" w:rsidP="00084B77">
      <w:pPr>
        <w:rPr>
          <w:color w:val="000000" w:themeColor="text1"/>
          <w:sz w:val="20"/>
          <w:szCs w:val="20"/>
        </w:rPr>
      </w:pPr>
      <w:r w:rsidRPr="00564493">
        <w:rPr>
          <w:color w:val="000000" w:themeColor="text1"/>
          <w:sz w:val="20"/>
          <w:szCs w:val="20"/>
        </w:rPr>
        <w:t xml:space="preserve">Smith, A., 1790. </w:t>
      </w:r>
      <w:r w:rsidRPr="00564493">
        <w:rPr>
          <w:i/>
          <w:color w:val="000000" w:themeColor="text1"/>
          <w:sz w:val="20"/>
          <w:szCs w:val="20"/>
        </w:rPr>
        <w:t>The Theory of Moral Sentiments</w:t>
      </w:r>
      <w:r w:rsidRPr="00564493">
        <w:rPr>
          <w:color w:val="000000" w:themeColor="text1"/>
          <w:sz w:val="20"/>
          <w:szCs w:val="20"/>
        </w:rPr>
        <w:t xml:space="preserve">. London: Printed for A. Millar, and A. Kincaid and J. </w:t>
      </w:r>
    </w:p>
    <w:p w14:paraId="684E48D4" w14:textId="77777777" w:rsidR="00084B77" w:rsidRPr="00564493" w:rsidRDefault="00084B77" w:rsidP="00084B77">
      <w:pPr>
        <w:ind w:left="432"/>
        <w:rPr>
          <w:color w:val="000000" w:themeColor="text1"/>
          <w:sz w:val="20"/>
          <w:szCs w:val="20"/>
        </w:rPr>
      </w:pPr>
      <w:r w:rsidRPr="00564493">
        <w:rPr>
          <w:color w:val="000000" w:themeColor="text1"/>
          <w:sz w:val="20"/>
          <w:szCs w:val="20"/>
        </w:rPr>
        <w:t>Bell.</w:t>
      </w:r>
    </w:p>
    <w:p w14:paraId="1E4CD3BF" w14:textId="77777777" w:rsidR="00084B77" w:rsidRPr="00564493" w:rsidRDefault="00084B77" w:rsidP="00084B77">
      <w:pPr>
        <w:rPr>
          <w:color w:val="000000" w:themeColor="text1"/>
          <w:sz w:val="20"/>
          <w:szCs w:val="20"/>
        </w:rPr>
      </w:pPr>
    </w:p>
    <w:p w14:paraId="0463FAFE"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Smith, J. and Cox, S., 1985. The Pricing of Legal Services: A Contractual Solution to the Problem of Bilateral Opportunism. </w:t>
      </w:r>
      <w:r w:rsidRPr="00564493">
        <w:rPr>
          <w:i/>
          <w:iCs/>
          <w:color w:val="000000" w:themeColor="text1"/>
          <w:sz w:val="20"/>
          <w:szCs w:val="20"/>
        </w:rPr>
        <w:t>The Journal of Legal Studies</w:t>
      </w:r>
      <w:r w:rsidRPr="00564493">
        <w:rPr>
          <w:color w:val="000000" w:themeColor="text1"/>
          <w:sz w:val="20"/>
          <w:szCs w:val="20"/>
        </w:rPr>
        <w:t>, 14(1), pp.167-183.</w:t>
      </w:r>
    </w:p>
    <w:p w14:paraId="0AA08305"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Spier, K., 1992. The Dynamics of Pretrial Negotiation. </w:t>
      </w:r>
      <w:r w:rsidRPr="00564493">
        <w:rPr>
          <w:i/>
          <w:iCs/>
          <w:color w:val="000000" w:themeColor="text1"/>
          <w:sz w:val="20"/>
          <w:szCs w:val="20"/>
        </w:rPr>
        <w:t>The Review of Economic Studies</w:t>
      </w:r>
      <w:r w:rsidRPr="00564493">
        <w:rPr>
          <w:color w:val="000000" w:themeColor="text1"/>
          <w:sz w:val="20"/>
          <w:szCs w:val="20"/>
        </w:rPr>
        <w:t>, 59(1), pp.93-108.</w:t>
      </w:r>
    </w:p>
    <w:p w14:paraId="05F577F6" w14:textId="77777777" w:rsidR="00084B77" w:rsidRPr="00564493" w:rsidRDefault="00084B77" w:rsidP="00084B77">
      <w:pPr>
        <w:rPr>
          <w:i/>
          <w:color w:val="000000" w:themeColor="text1"/>
          <w:sz w:val="20"/>
          <w:szCs w:val="20"/>
        </w:rPr>
      </w:pPr>
      <w:r w:rsidRPr="00564493">
        <w:rPr>
          <w:color w:val="000000" w:themeColor="text1"/>
          <w:sz w:val="20"/>
          <w:szCs w:val="20"/>
        </w:rPr>
        <w:t xml:space="preserve">Stiglitz, J., 1989. Principal and Agent. In: J. Eatwell, M. Milgate and P. Newman, ed., </w:t>
      </w:r>
      <w:r w:rsidRPr="00564493">
        <w:rPr>
          <w:i/>
          <w:color w:val="000000" w:themeColor="text1"/>
          <w:sz w:val="20"/>
          <w:szCs w:val="20"/>
        </w:rPr>
        <w:t>Allocation,</w:t>
      </w:r>
    </w:p>
    <w:p w14:paraId="3507D5A9" w14:textId="77777777" w:rsidR="00084B77" w:rsidRPr="00564493" w:rsidRDefault="00084B77" w:rsidP="00084B77">
      <w:pPr>
        <w:ind w:left="432"/>
        <w:rPr>
          <w:color w:val="000000" w:themeColor="text1"/>
          <w:sz w:val="20"/>
          <w:szCs w:val="20"/>
        </w:rPr>
      </w:pPr>
      <w:r w:rsidRPr="00564493">
        <w:rPr>
          <w:i/>
          <w:color w:val="000000" w:themeColor="text1"/>
          <w:sz w:val="20"/>
          <w:szCs w:val="20"/>
        </w:rPr>
        <w:t>Information and Markets</w:t>
      </w:r>
      <w:r w:rsidRPr="00564493">
        <w:rPr>
          <w:color w:val="000000" w:themeColor="text1"/>
          <w:sz w:val="20"/>
          <w:szCs w:val="20"/>
        </w:rPr>
        <w:t>. London: Palgrave Macmillan.</w:t>
      </w:r>
    </w:p>
    <w:p w14:paraId="089C7E34" w14:textId="77777777" w:rsidR="00084B77" w:rsidRPr="00564493" w:rsidRDefault="00084B77" w:rsidP="00084B77">
      <w:pPr>
        <w:ind w:left="432"/>
        <w:rPr>
          <w:color w:val="000000" w:themeColor="text1"/>
          <w:sz w:val="20"/>
          <w:szCs w:val="20"/>
        </w:rPr>
      </w:pPr>
    </w:p>
    <w:p w14:paraId="49AA0162"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Sullivan, S., 2016. Why Wait to Settle? An Experimental Test of the Asymmetric-Information Hypothesis. </w:t>
      </w:r>
      <w:r w:rsidRPr="00564493">
        <w:rPr>
          <w:i/>
          <w:iCs/>
          <w:color w:val="000000" w:themeColor="text1"/>
          <w:sz w:val="20"/>
          <w:szCs w:val="20"/>
        </w:rPr>
        <w:t>The Journal of Law and Economics</w:t>
      </w:r>
      <w:r w:rsidRPr="00564493">
        <w:rPr>
          <w:color w:val="000000" w:themeColor="text1"/>
          <w:sz w:val="20"/>
          <w:szCs w:val="20"/>
        </w:rPr>
        <w:t>, 59(3), pp.497-525.</w:t>
      </w:r>
    </w:p>
    <w:p w14:paraId="1A03D775" w14:textId="77777777" w:rsidR="00084B77" w:rsidRPr="00564493" w:rsidRDefault="00084B77" w:rsidP="00084B77">
      <w:pPr>
        <w:rPr>
          <w:color w:val="000000" w:themeColor="text1"/>
          <w:sz w:val="20"/>
          <w:szCs w:val="20"/>
        </w:rPr>
      </w:pPr>
      <w:r w:rsidRPr="00564493">
        <w:rPr>
          <w:color w:val="000000" w:themeColor="text1"/>
          <w:sz w:val="20"/>
          <w:szCs w:val="20"/>
        </w:rPr>
        <w:t>Tadelis, S., 2013. Game theory. Princeton: Princeton University Press.</w:t>
      </w:r>
    </w:p>
    <w:p w14:paraId="206D6897" w14:textId="77777777" w:rsidR="00084B77" w:rsidRPr="00564493" w:rsidRDefault="00084B77" w:rsidP="00084B77">
      <w:pPr>
        <w:rPr>
          <w:color w:val="000000" w:themeColor="text1"/>
          <w:sz w:val="20"/>
          <w:szCs w:val="20"/>
        </w:rPr>
      </w:pPr>
    </w:p>
    <w:p w14:paraId="20522E77" w14:textId="77777777" w:rsidR="00084B77" w:rsidRPr="00564493" w:rsidRDefault="00084B77" w:rsidP="00084B77">
      <w:pPr>
        <w:spacing w:after="180"/>
        <w:ind w:left="450" w:hanging="450"/>
        <w:rPr>
          <w:color w:val="000000"/>
          <w:sz w:val="20"/>
          <w:szCs w:val="20"/>
        </w:rPr>
      </w:pPr>
      <w:r w:rsidRPr="00564493">
        <w:rPr>
          <w:color w:val="000000"/>
          <w:sz w:val="20"/>
          <w:szCs w:val="20"/>
        </w:rPr>
        <w:t>Thomason, T., 1991. Are Attorneys Paid What They're worth? Contingent Fees and the Settlement Process. </w:t>
      </w:r>
      <w:r w:rsidRPr="00564493">
        <w:rPr>
          <w:i/>
          <w:iCs/>
          <w:color w:val="000000"/>
          <w:sz w:val="20"/>
          <w:szCs w:val="20"/>
        </w:rPr>
        <w:t>The Journal of Legal Studies</w:t>
      </w:r>
      <w:r w:rsidRPr="00564493">
        <w:rPr>
          <w:color w:val="000000"/>
          <w:sz w:val="20"/>
          <w:szCs w:val="20"/>
        </w:rPr>
        <w:t>, 20(1), pp.187-223.</w:t>
      </w:r>
    </w:p>
    <w:p w14:paraId="0BCD5B42"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Thompson, L., 1998. </w:t>
      </w:r>
      <w:r w:rsidRPr="00564493">
        <w:rPr>
          <w:i/>
          <w:iCs/>
          <w:color w:val="000000" w:themeColor="text1"/>
          <w:sz w:val="20"/>
          <w:szCs w:val="20"/>
        </w:rPr>
        <w:t>The Mind and Heart of the Negotiator</w:t>
      </w:r>
      <w:r w:rsidRPr="00564493">
        <w:rPr>
          <w:color w:val="000000" w:themeColor="text1"/>
          <w:sz w:val="20"/>
          <w:szCs w:val="20"/>
        </w:rPr>
        <w:t>. Upper Saddle River, NJ: Prentice Hall, p.46.</w:t>
      </w:r>
    </w:p>
    <w:p w14:paraId="6032A627"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Thompson, L. and Hastie, R., 1990. Social perception in negotiation. </w:t>
      </w:r>
      <w:r w:rsidRPr="00564493">
        <w:rPr>
          <w:i/>
          <w:iCs/>
          <w:color w:val="000000" w:themeColor="text1"/>
          <w:sz w:val="20"/>
          <w:szCs w:val="20"/>
        </w:rPr>
        <w:t>Organizational Behavior and Human Decision Processes</w:t>
      </w:r>
      <w:r w:rsidRPr="00564493">
        <w:rPr>
          <w:color w:val="000000" w:themeColor="text1"/>
          <w:sz w:val="20"/>
          <w:szCs w:val="20"/>
        </w:rPr>
        <w:t>, 47(1), pp.98-123.</w:t>
      </w:r>
    </w:p>
    <w:p w14:paraId="503503EE" w14:textId="7DFB405D" w:rsidR="00DA1A21" w:rsidRPr="00564493" w:rsidRDefault="00084B77" w:rsidP="00DA1A21">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Thompson, L., Peterson, E. and Brodt, S., 1996. Team negotiation: An examination of integrative and distributive bargaining. </w:t>
      </w:r>
      <w:r w:rsidRPr="00564493">
        <w:rPr>
          <w:i/>
          <w:iCs/>
          <w:color w:val="000000" w:themeColor="text1"/>
          <w:sz w:val="20"/>
          <w:szCs w:val="20"/>
        </w:rPr>
        <w:t>Journal of Personality and Social Psychology</w:t>
      </w:r>
      <w:r w:rsidRPr="00564493">
        <w:rPr>
          <w:color w:val="000000" w:themeColor="text1"/>
          <w:sz w:val="20"/>
          <w:szCs w:val="20"/>
        </w:rPr>
        <w:t>, 70(1), pp.66-78.</w:t>
      </w:r>
    </w:p>
    <w:p w14:paraId="3B47E550" w14:textId="0A12600B" w:rsidR="00DA1A21" w:rsidRPr="00564493" w:rsidRDefault="00DA1A21" w:rsidP="00DA1A21">
      <w:pPr>
        <w:pStyle w:val="NormalWeb"/>
        <w:spacing w:before="0" w:beforeAutospacing="0" w:after="180" w:afterAutospacing="0"/>
        <w:ind w:left="450" w:hanging="450"/>
        <w:rPr>
          <w:color w:val="000000"/>
          <w:sz w:val="20"/>
          <w:szCs w:val="20"/>
        </w:rPr>
      </w:pPr>
      <w:r w:rsidRPr="00564493">
        <w:rPr>
          <w:color w:val="000000"/>
          <w:sz w:val="20"/>
          <w:szCs w:val="20"/>
        </w:rPr>
        <w:t>Tversky, A. and Kahneman, D., 1973. Availability: A heuristic for judging frequency and probability. </w:t>
      </w:r>
      <w:r w:rsidRPr="00564493">
        <w:rPr>
          <w:i/>
          <w:iCs/>
          <w:color w:val="000000"/>
          <w:sz w:val="20"/>
          <w:szCs w:val="20"/>
        </w:rPr>
        <w:t>Cognitive Psychology</w:t>
      </w:r>
      <w:r w:rsidRPr="00564493">
        <w:rPr>
          <w:color w:val="000000"/>
          <w:sz w:val="20"/>
          <w:szCs w:val="20"/>
        </w:rPr>
        <w:t>, 5(2), pp.207-232.</w:t>
      </w:r>
    </w:p>
    <w:p w14:paraId="7DEF3A63"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Tye, D., Kuperstein, P. and O'Connell, P., 2013. </w:t>
      </w:r>
      <w:r w:rsidRPr="00564493">
        <w:rPr>
          <w:i/>
          <w:iCs/>
          <w:color w:val="000000" w:themeColor="text1"/>
          <w:sz w:val="20"/>
          <w:szCs w:val="20"/>
        </w:rPr>
        <w:t>Trying Divorce Cases in Massachusetts</w:t>
      </w:r>
      <w:r w:rsidRPr="00564493">
        <w:rPr>
          <w:color w:val="000000" w:themeColor="text1"/>
          <w:sz w:val="20"/>
          <w:szCs w:val="20"/>
        </w:rPr>
        <w:t>. 3rd ed. Boston: MCLE.</w:t>
      </w:r>
    </w:p>
    <w:p w14:paraId="5D9FDB0E" w14:textId="77777777" w:rsidR="00084B77" w:rsidRPr="00564493" w:rsidRDefault="00084B77" w:rsidP="00084B77">
      <w:pPr>
        <w:spacing w:after="180"/>
        <w:ind w:left="450" w:hanging="450"/>
        <w:rPr>
          <w:color w:val="000000" w:themeColor="text1"/>
          <w:sz w:val="20"/>
          <w:szCs w:val="20"/>
        </w:rPr>
      </w:pPr>
      <w:r w:rsidRPr="00564493">
        <w:rPr>
          <w:color w:val="000000" w:themeColor="text1"/>
          <w:sz w:val="20"/>
          <w:szCs w:val="20"/>
        </w:rPr>
        <w:t>Walton, R. and McKersie, R., 1965. </w:t>
      </w:r>
      <w:r w:rsidRPr="00564493">
        <w:rPr>
          <w:i/>
          <w:iCs/>
          <w:color w:val="000000" w:themeColor="text1"/>
          <w:sz w:val="20"/>
          <w:szCs w:val="20"/>
        </w:rPr>
        <w:t>A behavioral theory of labor relations.</w:t>
      </w:r>
      <w:r w:rsidRPr="00564493">
        <w:rPr>
          <w:color w:val="000000" w:themeColor="text1"/>
          <w:sz w:val="20"/>
          <w:szCs w:val="20"/>
        </w:rPr>
        <w:t xml:space="preserve"> New York: McGraw-Hill.</w:t>
      </w:r>
    </w:p>
    <w:p w14:paraId="58A381EC" w14:textId="77777777" w:rsidR="00084B77" w:rsidRPr="00564493" w:rsidRDefault="00084B77" w:rsidP="00084B77">
      <w:pPr>
        <w:rPr>
          <w:i/>
          <w:color w:val="000000" w:themeColor="text1"/>
          <w:sz w:val="20"/>
          <w:szCs w:val="20"/>
        </w:rPr>
      </w:pPr>
      <w:r w:rsidRPr="00564493">
        <w:rPr>
          <w:color w:val="000000" w:themeColor="text1"/>
          <w:sz w:val="20"/>
          <w:szCs w:val="20"/>
        </w:rPr>
        <w:t xml:space="preserve">Waterman, A., 2002. Economics as Theology: Adam Smith's Wealth of Nations. </w:t>
      </w:r>
      <w:r w:rsidRPr="00564493">
        <w:rPr>
          <w:i/>
          <w:color w:val="000000" w:themeColor="text1"/>
          <w:sz w:val="20"/>
          <w:szCs w:val="20"/>
        </w:rPr>
        <w:t>Southern Economic</w:t>
      </w:r>
    </w:p>
    <w:p w14:paraId="13BC32C6" w14:textId="77777777" w:rsidR="00084B77" w:rsidRPr="00564493" w:rsidRDefault="00084B77" w:rsidP="00084B77">
      <w:pPr>
        <w:ind w:left="432"/>
        <w:rPr>
          <w:color w:val="000000" w:themeColor="text1"/>
          <w:sz w:val="20"/>
          <w:szCs w:val="20"/>
        </w:rPr>
      </w:pPr>
      <w:r w:rsidRPr="00564493">
        <w:rPr>
          <w:i/>
          <w:color w:val="000000" w:themeColor="text1"/>
          <w:sz w:val="20"/>
          <w:szCs w:val="20"/>
        </w:rPr>
        <w:t>Journal</w:t>
      </w:r>
      <w:r w:rsidRPr="00564493">
        <w:rPr>
          <w:color w:val="000000" w:themeColor="text1"/>
          <w:sz w:val="20"/>
          <w:szCs w:val="20"/>
        </w:rPr>
        <w:t>, 68(4), p.907.</w:t>
      </w:r>
    </w:p>
    <w:p w14:paraId="35F488F5" w14:textId="77777777" w:rsidR="00084B77" w:rsidRPr="00564493" w:rsidRDefault="00084B77" w:rsidP="00084B77">
      <w:pPr>
        <w:rPr>
          <w:color w:val="000000" w:themeColor="text1"/>
          <w:sz w:val="20"/>
          <w:szCs w:val="20"/>
        </w:rPr>
      </w:pPr>
    </w:p>
    <w:p w14:paraId="0136ED3C"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Watts, A., 1994. Bargaining through an Expert Attorney. </w:t>
      </w:r>
      <w:r w:rsidRPr="00564493">
        <w:rPr>
          <w:i/>
          <w:iCs/>
          <w:color w:val="000000" w:themeColor="text1"/>
          <w:sz w:val="20"/>
          <w:szCs w:val="20"/>
        </w:rPr>
        <w:t>Journal of Law, Economics, and Organization</w:t>
      </w:r>
      <w:r w:rsidRPr="00564493">
        <w:rPr>
          <w:color w:val="000000" w:themeColor="text1"/>
          <w:sz w:val="20"/>
          <w:szCs w:val="20"/>
        </w:rPr>
        <w:t>, 10(1), pp.168-186.</w:t>
      </w:r>
    </w:p>
    <w:p w14:paraId="3337BC30" w14:textId="1B44D639" w:rsidR="00084B77" w:rsidRPr="00564493" w:rsidRDefault="00084B77" w:rsidP="00084B77">
      <w:pPr>
        <w:pStyle w:val="NormalWeb"/>
        <w:spacing w:before="0" w:beforeAutospacing="0" w:after="180" w:afterAutospacing="0"/>
        <w:ind w:left="450" w:hanging="450"/>
        <w:rPr>
          <w:color w:val="000000"/>
          <w:sz w:val="20"/>
          <w:szCs w:val="20"/>
        </w:rPr>
      </w:pPr>
      <w:r w:rsidRPr="00564493">
        <w:rPr>
          <w:color w:val="000000"/>
          <w:sz w:val="20"/>
          <w:szCs w:val="20"/>
        </w:rPr>
        <w:t xml:space="preserve">Wilkinson-Ryan, T. and Small, D., 2008. Negotiating Divorce: Gender and </w:t>
      </w:r>
      <w:r w:rsidR="00D216C1" w:rsidRPr="00564493">
        <w:rPr>
          <w:color w:val="000000"/>
          <w:sz w:val="20"/>
          <w:szCs w:val="20"/>
        </w:rPr>
        <w:t xml:space="preserve">Behavioral Economics </w:t>
      </w:r>
      <w:r w:rsidRPr="00564493">
        <w:rPr>
          <w:color w:val="000000"/>
          <w:sz w:val="20"/>
          <w:szCs w:val="20"/>
        </w:rPr>
        <w:t>of Divorce Bargaining. </w:t>
      </w:r>
      <w:r w:rsidRPr="00564493">
        <w:rPr>
          <w:i/>
          <w:iCs/>
          <w:color w:val="000000"/>
          <w:sz w:val="20"/>
          <w:szCs w:val="20"/>
        </w:rPr>
        <w:t>Minnesota Journal of Law and Inequality</w:t>
      </w:r>
      <w:r w:rsidRPr="00564493">
        <w:rPr>
          <w:color w:val="000000"/>
          <w:sz w:val="20"/>
          <w:szCs w:val="20"/>
        </w:rPr>
        <w:t>, 26(1).</w:t>
      </w:r>
    </w:p>
    <w:p w14:paraId="7C3B496A"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Williamson, O., 1989. Transaction Cost Economics. In: R. Schmalensee and R. Willig, ed., </w:t>
      </w:r>
      <w:r w:rsidRPr="00564493">
        <w:rPr>
          <w:i/>
          <w:iCs/>
          <w:color w:val="000000" w:themeColor="text1"/>
          <w:sz w:val="20"/>
          <w:szCs w:val="20"/>
        </w:rPr>
        <w:t>Handbook of Industrial Organization</w:t>
      </w:r>
      <w:r w:rsidRPr="00564493">
        <w:rPr>
          <w:color w:val="000000" w:themeColor="text1"/>
          <w:sz w:val="20"/>
          <w:szCs w:val="20"/>
        </w:rPr>
        <w:t>, 1st ed. North-Holland, pp.135-182.</w:t>
      </w:r>
    </w:p>
    <w:p w14:paraId="097C53E5" w14:textId="77777777" w:rsidR="00084B77" w:rsidRPr="00564493" w:rsidRDefault="00084B77" w:rsidP="00084B77">
      <w:pPr>
        <w:pStyle w:val="NormalWeb"/>
        <w:spacing w:before="0" w:beforeAutospacing="0" w:after="180" w:afterAutospacing="0"/>
        <w:ind w:left="450" w:hanging="450"/>
        <w:rPr>
          <w:color w:val="000000" w:themeColor="text1"/>
          <w:sz w:val="20"/>
          <w:szCs w:val="20"/>
        </w:rPr>
      </w:pPr>
      <w:r w:rsidRPr="00564493">
        <w:rPr>
          <w:color w:val="000000" w:themeColor="text1"/>
          <w:sz w:val="20"/>
          <w:szCs w:val="20"/>
        </w:rPr>
        <w:t>Wilson, E. and L. Thompson, L., 2014. Creativity and negotiation research: the integrative potential. </w:t>
      </w:r>
      <w:r w:rsidRPr="00564493">
        <w:rPr>
          <w:i/>
          <w:iCs/>
          <w:color w:val="000000" w:themeColor="text1"/>
          <w:sz w:val="20"/>
          <w:szCs w:val="20"/>
        </w:rPr>
        <w:t>International Journal of Conflict Management</w:t>
      </w:r>
      <w:r w:rsidRPr="00564493">
        <w:rPr>
          <w:color w:val="000000" w:themeColor="text1"/>
          <w:sz w:val="20"/>
          <w:szCs w:val="20"/>
        </w:rPr>
        <w:t>, 25(4), pp.359-386.</w:t>
      </w:r>
    </w:p>
    <w:p w14:paraId="3A233E7E" w14:textId="19E43069" w:rsidR="00084B77" w:rsidRPr="00564493" w:rsidRDefault="00084B77" w:rsidP="00414149">
      <w:pPr>
        <w:spacing w:after="180"/>
        <w:ind w:left="450" w:hanging="450"/>
        <w:rPr>
          <w:color w:val="000000"/>
          <w:sz w:val="20"/>
          <w:szCs w:val="20"/>
        </w:rPr>
      </w:pPr>
      <w:r w:rsidRPr="00564493">
        <w:rPr>
          <w:color w:val="000000"/>
          <w:sz w:val="20"/>
          <w:szCs w:val="20"/>
        </w:rPr>
        <w:t>Woolf, L., 1997. Civil Justice in the United Kingdom. </w:t>
      </w:r>
      <w:r w:rsidRPr="00564493">
        <w:rPr>
          <w:i/>
          <w:iCs/>
          <w:color w:val="000000"/>
          <w:sz w:val="20"/>
          <w:szCs w:val="20"/>
        </w:rPr>
        <w:t>The American Journal of Comparative Law</w:t>
      </w:r>
      <w:r w:rsidRPr="00564493">
        <w:rPr>
          <w:color w:val="000000"/>
          <w:sz w:val="20"/>
          <w:szCs w:val="20"/>
        </w:rPr>
        <w:t>, 45(4), pp.709-736.</w:t>
      </w:r>
    </w:p>
    <w:p w14:paraId="21A3BAD7" w14:textId="3993BC7E" w:rsidR="006A4012" w:rsidRPr="00564493" w:rsidRDefault="006A4012" w:rsidP="006A4012">
      <w:pPr>
        <w:pStyle w:val="NormalWeb"/>
        <w:spacing w:before="0" w:beforeAutospacing="0" w:after="180" w:afterAutospacing="0"/>
        <w:ind w:left="450" w:hanging="450"/>
        <w:rPr>
          <w:rFonts w:asciiTheme="minorHAnsi" w:hAnsiTheme="minorHAnsi"/>
          <w:color w:val="000000"/>
          <w:sz w:val="20"/>
          <w:szCs w:val="20"/>
        </w:rPr>
      </w:pPr>
      <w:r w:rsidRPr="00564493">
        <w:rPr>
          <w:rFonts w:asciiTheme="minorHAnsi" w:hAnsiTheme="minorHAnsi"/>
          <w:color w:val="000000"/>
          <w:sz w:val="20"/>
          <w:szCs w:val="20"/>
        </w:rPr>
        <w:t>Xygalatas, D., 2013. Effects of religious setting on cooperative behavior: a case study from Mauritius. </w:t>
      </w:r>
      <w:r w:rsidRPr="00564493">
        <w:rPr>
          <w:rFonts w:asciiTheme="minorHAnsi" w:hAnsiTheme="minorHAnsi"/>
          <w:i/>
          <w:iCs/>
          <w:color w:val="000000"/>
          <w:sz w:val="20"/>
          <w:szCs w:val="20"/>
        </w:rPr>
        <w:t>Religion, Brain &amp;amp; Behavior</w:t>
      </w:r>
      <w:r w:rsidRPr="00564493">
        <w:rPr>
          <w:rFonts w:asciiTheme="minorHAnsi" w:hAnsiTheme="minorHAnsi"/>
          <w:color w:val="000000"/>
          <w:sz w:val="20"/>
          <w:szCs w:val="20"/>
        </w:rPr>
        <w:t>, 3(2), pp.91-102.</w:t>
      </w:r>
    </w:p>
    <w:p w14:paraId="75213B17" w14:textId="77777777" w:rsidR="00084B77" w:rsidRPr="00564493" w:rsidRDefault="00084B77" w:rsidP="00084B77">
      <w:pPr>
        <w:rPr>
          <w:color w:val="000000" w:themeColor="text1"/>
          <w:sz w:val="20"/>
          <w:szCs w:val="20"/>
        </w:rPr>
      </w:pPr>
      <w:r w:rsidRPr="00564493">
        <w:rPr>
          <w:color w:val="000000" w:themeColor="text1"/>
          <w:sz w:val="20"/>
          <w:szCs w:val="20"/>
        </w:rPr>
        <w:t xml:space="preserve">Zacharias, F., 2008. Effects of Reputation on the Legal Profession. </w:t>
      </w:r>
      <w:r w:rsidRPr="00564493">
        <w:rPr>
          <w:i/>
          <w:color w:val="000000" w:themeColor="text1"/>
          <w:sz w:val="20"/>
          <w:szCs w:val="20"/>
        </w:rPr>
        <w:t>Washington and Lee Law Review</w:t>
      </w:r>
      <w:r w:rsidRPr="00564493">
        <w:rPr>
          <w:color w:val="000000" w:themeColor="text1"/>
          <w:sz w:val="20"/>
          <w:szCs w:val="20"/>
        </w:rPr>
        <w:t>, 173.</w:t>
      </w:r>
    </w:p>
    <w:p w14:paraId="16E4E0F6" w14:textId="77777777" w:rsidR="00084B77" w:rsidRPr="00564493" w:rsidRDefault="00084B77" w:rsidP="00084B77">
      <w:pPr>
        <w:rPr>
          <w:color w:val="000000" w:themeColor="text1"/>
          <w:sz w:val="20"/>
          <w:szCs w:val="20"/>
        </w:rPr>
      </w:pPr>
    </w:p>
    <w:p w14:paraId="6596FDBB" w14:textId="77777777" w:rsidR="00084B77" w:rsidRPr="00564493" w:rsidRDefault="00084B77" w:rsidP="00084B77">
      <w:pPr>
        <w:outlineLvl w:val="0"/>
        <w:rPr>
          <w:sz w:val="20"/>
          <w:szCs w:val="20"/>
        </w:rPr>
      </w:pPr>
      <w:r w:rsidRPr="00564493">
        <w:rPr>
          <w:sz w:val="20"/>
          <w:szCs w:val="20"/>
        </w:rPr>
        <w:t>Zauner, K., 1999. A Payoff Uncertainty Explanation of Results in Experimental Centipede</w:t>
      </w:r>
    </w:p>
    <w:p w14:paraId="2FB46AED" w14:textId="6075132A" w:rsidR="00DA1A21" w:rsidRPr="00564493" w:rsidRDefault="00084B77" w:rsidP="00521D69">
      <w:pPr>
        <w:ind w:left="-288" w:firstLine="720"/>
        <w:rPr>
          <w:sz w:val="20"/>
          <w:szCs w:val="20"/>
        </w:rPr>
      </w:pPr>
      <w:r w:rsidRPr="00564493">
        <w:rPr>
          <w:sz w:val="20"/>
          <w:szCs w:val="20"/>
        </w:rPr>
        <w:t xml:space="preserve">Games. </w:t>
      </w:r>
      <w:r w:rsidRPr="00564493">
        <w:rPr>
          <w:i/>
          <w:sz w:val="20"/>
          <w:szCs w:val="20"/>
        </w:rPr>
        <w:t>Games and Economic Behavior</w:t>
      </w:r>
      <w:r w:rsidRPr="00564493">
        <w:rPr>
          <w:sz w:val="20"/>
          <w:szCs w:val="20"/>
        </w:rPr>
        <w:t>, 26(1), pp.157-1</w:t>
      </w:r>
    </w:p>
    <w:p w14:paraId="7F1399B7" w14:textId="77777777" w:rsidR="00564493" w:rsidRPr="00564493" w:rsidRDefault="00564493" w:rsidP="00521D69">
      <w:pPr>
        <w:ind w:left="-288" w:firstLine="720"/>
        <w:rPr>
          <w:sz w:val="20"/>
          <w:szCs w:val="20"/>
        </w:rPr>
      </w:pPr>
    </w:p>
    <w:p w14:paraId="2DFCEE6D" w14:textId="77777777" w:rsidR="00564493" w:rsidRPr="00564493" w:rsidRDefault="00564493" w:rsidP="00521D69">
      <w:pPr>
        <w:ind w:left="-288" w:firstLine="720"/>
        <w:rPr>
          <w:sz w:val="20"/>
          <w:szCs w:val="20"/>
        </w:rPr>
      </w:pPr>
    </w:p>
    <w:p w14:paraId="5B53A9A2" w14:textId="77777777" w:rsidR="00564493" w:rsidRPr="00564493" w:rsidRDefault="00564493" w:rsidP="00521D69">
      <w:pPr>
        <w:ind w:left="-288" w:firstLine="720"/>
        <w:rPr>
          <w:sz w:val="20"/>
          <w:szCs w:val="20"/>
        </w:rPr>
      </w:pPr>
    </w:p>
    <w:p w14:paraId="339F841E" w14:textId="77777777" w:rsidR="00564493" w:rsidRPr="00564493" w:rsidRDefault="00564493" w:rsidP="00521D69">
      <w:pPr>
        <w:ind w:left="-288" w:firstLine="720"/>
        <w:rPr>
          <w:sz w:val="20"/>
          <w:szCs w:val="20"/>
        </w:rPr>
      </w:pPr>
    </w:p>
    <w:p w14:paraId="0FC90075" w14:textId="77777777" w:rsidR="00564493" w:rsidRPr="00521D69" w:rsidRDefault="00564493" w:rsidP="00521D69">
      <w:pPr>
        <w:ind w:left="-288" w:firstLine="720"/>
        <w:rPr>
          <w:sz w:val="20"/>
          <w:szCs w:val="20"/>
        </w:rPr>
      </w:pPr>
    </w:p>
    <w:sectPr w:rsidR="00564493" w:rsidRPr="00521D69" w:rsidSect="00B26887">
      <w:footerReference w:type="even" r:id="rId17"/>
      <w:footerReference w:type="default" r:id="rId18"/>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901AF7" w14:textId="77777777" w:rsidR="00E95B42" w:rsidRDefault="00E95B42" w:rsidP="00B54813">
      <w:r>
        <w:separator/>
      </w:r>
    </w:p>
  </w:endnote>
  <w:endnote w:type="continuationSeparator" w:id="0">
    <w:p w14:paraId="001598B6" w14:textId="77777777" w:rsidR="00E95B42" w:rsidRDefault="00E95B42" w:rsidP="00B54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CE9B9" w14:textId="77777777" w:rsidR="00991A78" w:rsidRDefault="00991A78" w:rsidP="00480E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6FE47A" w14:textId="77777777" w:rsidR="00991A78" w:rsidRDefault="00991A78" w:rsidP="00FF777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D10BD" w14:textId="77777777" w:rsidR="00991A78" w:rsidRDefault="00991A78" w:rsidP="00480E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95B42">
      <w:rPr>
        <w:rStyle w:val="PageNumber"/>
        <w:noProof/>
      </w:rPr>
      <w:t>1</w:t>
    </w:r>
    <w:r>
      <w:rPr>
        <w:rStyle w:val="PageNumber"/>
      </w:rPr>
      <w:fldChar w:fldCharType="end"/>
    </w:r>
  </w:p>
  <w:p w14:paraId="53BC6E37" w14:textId="77777777" w:rsidR="00991A78" w:rsidRDefault="00991A78" w:rsidP="00FF777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EB2C5D" w14:textId="77777777" w:rsidR="00E95B42" w:rsidRDefault="00E95B42" w:rsidP="00B54813">
      <w:r>
        <w:separator/>
      </w:r>
    </w:p>
  </w:footnote>
  <w:footnote w:type="continuationSeparator" w:id="0">
    <w:p w14:paraId="11055ABB" w14:textId="77777777" w:rsidR="00E95B42" w:rsidRDefault="00E95B42" w:rsidP="00B54813">
      <w:r>
        <w:continuationSeparator/>
      </w:r>
    </w:p>
  </w:footnote>
  <w:footnote w:id="1">
    <w:p w14:paraId="2A15BCA6" w14:textId="7920E336" w:rsidR="00991A78" w:rsidRDefault="00991A78" w:rsidP="00B54813">
      <w:pPr>
        <w:pStyle w:val="FootnoteText"/>
      </w:pPr>
      <w:r w:rsidRPr="00E651D4">
        <w:rPr>
          <w:rStyle w:val="FootnoteReference"/>
        </w:rPr>
        <w:footnoteRef/>
      </w:r>
      <w:r w:rsidRPr="00E651D4">
        <w:t xml:space="preserve"> Walton and McKersie (1965) originally</w:t>
      </w:r>
      <w:r>
        <w:t xml:space="preserve"> introduced integrative agreements as an agreement in which parties achieve a larger joint outcome than would have been achieved through compromise.</w:t>
      </w:r>
    </w:p>
  </w:footnote>
  <w:footnote w:id="2">
    <w:p w14:paraId="1EF2F43D" w14:textId="77777777" w:rsidR="00991A78" w:rsidRPr="00BF2BE5" w:rsidRDefault="00991A78" w:rsidP="00B54813">
      <w:pPr>
        <w:pStyle w:val="FootnoteText"/>
      </w:pPr>
      <w:r>
        <w:rPr>
          <w:rStyle w:val="FootnoteReference"/>
        </w:rPr>
        <w:footnoteRef/>
      </w:r>
      <w:r>
        <w:t xml:space="preserve"> </w:t>
      </w:r>
      <w:r w:rsidRPr="00E651D4">
        <w:t>See (Thompson, 1998) “</w:t>
      </w:r>
      <w:r w:rsidRPr="00780336">
        <w:rPr>
          <w:i/>
        </w:rPr>
        <w:t>The integrative potential of negotiation is the increase in joint profit available to negotiators</w:t>
      </w:r>
      <w:r w:rsidRPr="001A6D62">
        <w:rPr>
          <w:i/>
        </w:rPr>
        <w:t xml:space="preserve"> over and above the joint-profit afforded by a fixed-sum </w:t>
      </w:r>
      <w:r w:rsidRPr="003C6B40">
        <w:rPr>
          <w:i/>
          <w:color w:val="000000" w:themeColor="text1"/>
        </w:rPr>
        <w:t>solution</w:t>
      </w:r>
      <w:r>
        <w:rPr>
          <w:color w:val="000000" w:themeColor="text1"/>
        </w:rPr>
        <w:t xml:space="preserve">”. </w:t>
      </w:r>
    </w:p>
  </w:footnote>
  <w:footnote w:id="3">
    <w:p w14:paraId="723CB4CC" w14:textId="599D5E54" w:rsidR="00991A78" w:rsidRPr="00F864D3" w:rsidRDefault="00991A78">
      <w:pPr>
        <w:pStyle w:val="FootnoteText"/>
      </w:pPr>
      <w:r>
        <w:rPr>
          <w:rStyle w:val="FootnoteReference"/>
        </w:rPr>
        <w:footnoteRef/>
      </w:r>
      <w:r>
        <w:t xml:space="preserve"> </w:t>
      </w:r>
      <w:r w:rsidRPr="00442267">
        <w:t>See Mnookin (2003): “</w:t>
      </w:r>
      <w:r w:rsidRPr="00442267">
        <w:rPr>
          <w:i/>
        </w:rPr>
        <w:t>In</w:t>
      </w:r>
      <w:r>
        <w:rPr>
          <w:i/>
        </w:rPr>
        <w:t xml:space="preserve"> short, accurate information about each negotiator’s goals, priorities, preferences… is essential to reach agreements that offer optimum gain from trade”</w:t>
      </w:r>
      <w:r>
        <w:t xml:space="preserve">. See also Kemp and Smith (1994) who illustrated that failure to attain integrative outcomes is often the result of insufficient information exchange. See also Thompson, Peterson and Brodt (1996) who explained their experimental results, demonstrating increased likelihood of teams attaining integrative outcomes, as a product of increased information-exchange and accuracy in judgements. </w:t>
      </w:r>
    </w:p>
  </w:footnote>
  <w:footnote w:id="4">
    <w:p w14:paraId="69908A05" w14:textId="77777777" w:rsidR="00991A78" w:rsidRDefault="00991A78" w:rsidP="00B54813">
      <w:pPr>
        <w:pStyle w:val="FootnoteText"/>
      </w:pPr>
      <w:r w:rsidRPr="00414149">
        <w:rPr>
          <w:rStyle w:val="FootnoteReference"/>
        </w:rPr>
        <w:footnoteRef/>
      </w:r>
      <w:r w:rsidRPr="00414149">
        <w:t xml:space="preserve"> Thompson and Hastie (1990) refer to this as the tendency for people to view the other’s interests as completely opposed to their own. This bias is present at the outset of most negotiations (Thompson and Hastie, 1990).</w:t>
      </w:r>
      <w:r>
        <w:t xml:space="preserve"> </w:t>
      </w:r>
    </w:p>
  </w:footnote>
  <w:footnote w:id="5">
    <w:p w14:paraId="47D83528" w14:textId="77777777" w:rsidR="00991A78" w:rsidRDefault="00991A78" w:rsidP="00512056">
      <w:pPr>
        <w:pStyle w:val="FootnoteText"/>
      </w:pPr>
      <w:r>
        <w:rPr>
          <w:rStyle w:val="FootnoteReference"/>
        </w:rPr>
        <w:footnoteRef/>
      </w:r>
      <w:r>
        <w:t xml:space="preserve"> The ‘courthouse steps’ phenomenon refers to the high rate of ‘last-minute’ settlements. </w:t>
      </w:r>
    </w:p>
  </w:footnote>
  <w:footnote w:id="6">
    <w:p w14:paraId="05F961DE" w14:textId="77777777" w:rsidR="00991A78" w:rsidRDefault="00991A78" w:rsidP="00B54813">
      <w:pPr>
        <w:pStyle w:val="FootnoteText"/>
      </w:pPr>
      <w:r>
        <w:rPr>
          <w:rStyle w:val="FootnoteReference"/>
        </w:rPr>
        <w:footnoteRef/>
      </w:r>
      <w:r>
        <w:t xml:space="preserve"> See </w:t>
      </w:r>
      <w:r w:rsidRPr="00DA2021">
        <w:t>also Halpern and Turnbull (1983)</w:t>
      </w:r>
      <w:r>
        <w:t xml:space="preserve"> who considered how clients may not be able to monitor or do so at a cost. </w:t>
      </w:r>
    </w:p>
  </w:footnote>
  <w:footnote w:id="7">
    <w:p w14:paraId="7435A326" w14:textId="7144EE47" w:rsidR="00991A78" w:rsidRDefault="00991A78">
      <w:pPr>
        <w:pStyle w:val="FootnoteText"/>
      </w:pPr>
      <w:r>
        <w:rPr>
          <w:rStyle w:val="FootnoteReference"/>
        </w:rPr>
        <w:footnoteRef/>
      </w:r>
      <w:r>
        <w:t xml:space="preserve"> See </w:t>
      </w:r>
      <w:r w:rsidRPr="002705E7">
        <w:t>also Richmond (2008) who</w:t>
      </w:r>
      <w:r>
        <w:t xml:space="preserve"> implied monitoring difficulties when considering how unethical billing practices may occur, to some extent, because they are often difficult to detect. </w:t>
      </w:r>
    </w:p>
  </w:footnote>
  <w:footnote w:id="8">
    <w:p w14:paraId="4B2C24B7" w14:textId="77777777" w:rsidR="00991A78" w:rsidRDefault="00991A78" w:rsidP="00B54813">
      <w:pPr>
        <w:pStyle w:val="FootnoteText"/>
      </w:pPr>
      <w:r>
        <w:rPr>
          <w:rStyle w:val="FootnoteReference"/>
        </w:rPr>
        <w:footnoteRef/>
      </w:r>
      <w:r>
        <w:t xml:space="preserve"> See also Emons (2017) who described how under hourly-fees, clients bear all the legal risk, lawyers have no incentive to invest unobservable effort, yet have an incentive to “overlawyer” by performing unnecessary tasks. </w:t>
      </w:r>
    </w:p>
  </w:footnote>
  <w:footnote w:id="9">
    <w:p w14:paraId="77895A9E" w14:textId="77777777" w:rsidR="00991A78" w:rsidRDefault="00991A78" w:rsidP="00B54813">
      <w:pPr>
        <w:pStyle w:val="FootnoteText"/>
      </w:pPr>
      <w:r>
        <w:rPr>
          <w:rStyle w:val="FootnoteReference"/>
        </w:rPr>
        <w:footnoteRef/>
      </w:r>
      <w:r>
        <w:t xml:space="preserve"> See </w:t>
      </w:r>
      <w:r w:rsidRPr="005A0E14">
        <w:t>also Langevoort and Rasmussen (1997) who</w:t>
      </w:r>
      <w:r>
        <w:t xml:space="preserve"> considered how reputational penalties may not refrain lawyers from overstating legal risks to elicit more services and dampen reputational penalties should legal problems be encountered. </w:t>
      </w:r>
    </w:p>
  </w:footnote>
  <w:footnote w:id="10">
    <w:p w14:paraId="3CD30E1A" w14:textId="57597690" w:rsidR="00991A78" w:rsidRDefault="00991A78">
      <w:pPr>
        <w:pStyle w:val="FootnoteText"/>
      </w:pPr>
      <w:r>
        <w:rPr>
          <w:rStyle w:val="FootnoteReference"/>
        </w:rPr>
        <w:footnoteRef/>
      </w:r>
      <w:r>
        <w:t xml:space="preserve"> </w:t>
      </w:r>
      <w:r w:rsidRPr="00C706B9">
        <w:t>See Langevoort and Rasmussen (1997) who</w:t>
      </w:r>
      <w:r>
        <w:t xml:space="preserve"> considered the costs of switching with respect to relationship-building. </w:t>
      </w:r>
    </w:p>
  </w:footnote>
  <w:footnote w:id="11">
    <w:p w14:paraId="6B664CF1" w14:textId="77777777" w:rsidR="00991A78" w:rsidRPr="00B31D95" w:rsidRDefault="00991A78" w:rsidP="00B54813">
      <w:pPr>
        <w:pStyle w:val="FootnoteText"/>
        <w:rPr>
          <w:color w:val="FF0000"/>
        </w:rPr>
      </w:pPr>
      <w:r>
        <w:rPr>
          <w:rStyle w:val="FootnoteReference"/>
        </w:rPr>
        <w:footnoteRef/>
      </w:r>
      <w:r>
        <w:t xml:space="preserve"> See </w:t>
      </w:r>
      <w:r w:rsidRPr="00285B11">
        <w:t>Croson and Mnookin (1997) who cite</w:t>
      </w:r>
      <w:r>
        <w:t xml:space="preserve">d their personal communication with Russell </w:t>
      </w:r>
      <w:r w:rsidRPr="003E6856">
        <w:rPr>
          <w:color w:val="000000" w:themeColor="text1"/>
        </w:rPr>
        <w:t>Korobkin</w:t>
      </w:r>
      <w:r>
        <w:t xml:space="preserve"> to highlight that in the real-world clients may not know or understand the payoffs associated with their choice of lawyers. </w:t>
      </w:r>
    </w:p>
  </w:footnote>
  <w:footnote w:id="12">
    <w:p w14:paraId="15211AC6" w14:textId="77777777" w:rsidR="00991A78" w:rsidRDefault="00991A78" w:rsidP="00B54813">
      <w:pPr>
        <w:pStyle w:val="FootnoteText"/>
      </w:pPr>
      <w:r w:rsidRPr="003A2F6A">
        <w:rPr>
          <w:rStyle w:val="FootnoteReference"/>
        </w:rPr>
        <w:footnoteRef/>
      </w:r>
      <w:r w:rsidRPr="003A2F6A">
        <w:t xml:space="preserve"> </w:t>
      </w:r>
      <w:r w:rsidRPr="00EA15F3">
        <w:t>See Maccoby and Mnookin (1992) who</w:t>
      </w:r>
      <w:r>
        <w:t xml:space="preserve"> consider how each side may fear exploitation if they make a cooperative move, yet may avoid substantial (and fairly-distributed) joint-gains by neglecting cooperation. This dilemma therefore refers to the tension between cooperative moves to create value and competitive moves to claim value (Maccoby and Mnookin, 1992).</w:t>
      </w:r>
    </w:p>
  </w:footnote>
  <w:footnote w:id="13">
    <w:p w14:paraId="320CE0D8" w14:textId="77777777" w:rsidR="00991A78" w:rsidRPr="00CD2C58" w:rsidRDefault="00991A78" w:rsidP="00B54813">
      <w:pPr>
        <w:rPr>
          <w:rFonts w:eastAsiaTheme="minorEastAsia"/>
          <w:color w:val="000000" w:themeColor="text1"/>
          <w:shd w:val="clear" w:color="auto" w:fill="FFFFFF"/>
        </w:rPr>
      </w:pPr>
      <w:r>
        <w:rPr>
          <w:rStyle w:val="FootnoteReference"/>
        </w:rPr>
        <w:footnoteRef/>
      </w:r>
      <w:r>
        <w:t xml:space="preserve"> </w:t>
      </w:r>
      <w:r w:rsidRPr="00EA15F3">
        <w:rPr>
          <w:rFonts w:eastAsiaTheme="minorEastAsia"/>
          <w:color w:val="000000" w:themeColor="text1"/>
          <w:shd w:val="clear" w:color="auto" w:fill="FFFFFF"/>
        </w:rPr>
        <w:t>Importantly, Levitt, List and Sadoff (2011) failed to</w:t>
      </w:r>
      <w:r w:rsidRPr="0026506B">
        <w:rPr>
          <w:rFonts w:eastAsiaTheme="minorEastAsia"/>
          <w:color w:val="000000" w:themeColor="text1"/>
          <w:shd w:val="clear" w:color="auto" w:fill="FFFFFF"/>
        </w:rPr>
        <w:t xml:space="preserve"> </w:t>
      </w:r>
      <w:r w:rsidRPr="00442267">
        <w:rPr>
          <w:rFonts w:eastAsiaTheme="minorEastAsia"/>
          <w:color w:val="000000" w:themeColor="text1"/>
          <w:shd w:val="clear" w:color="auto" w:fill="FFFFFF"/>
        </w:rPr>
        <w:t>replicate Palacios-Huerta and Volij’s</w:t>
      </w:r>
      <w:r w:rsidRPr="0026506B">
        <w:rPr>
          <w:rFonts w:eastAsiaTheme="minorEastAsia"/>
          <w:color w:val="000000" w:themeColor="text1"/>
          <w:shd w:val="clear" w:color="auto" w:fill="FFFFFF"/>
        </w:rPr>
        <w:t xml:space="preserve"> (2009) findings</w:t>
      </w:r>
      <w:r>
        <w:rPr>
          <w:rFonts w:eastAsiaTheme="minorEastAsia"/>
          <w:color w:val="000000" w:themeColor="text1"/>
          <w:shd w:val="clear" w:color="auto" w:fill="FFFFFF"/>
        </w:rPr>
        <w:t>, indicating a potential limitation of this line of explanation for non-equilibrium play.</w:t>
      </w:r>
    </w:p>
  </w:footnote>
  <w:footnote w:id="14">
    <w:p w14:paraId="331A79D0" w14:textId="2CA33485" w:rsidR="00991A78" w:rsidRDefault="00991A78" w:rsidP="00B54813">
      <w:pPr>
        <w:pStyle w:val="FootnoteText"/>
      </w:pPr>
      <w:r>
        <w:rPr>
          <w:rStyle w:val="FootnoteReference"/>
        </w:rPr>
        <w:footnoteRef/>
      </w:r>
      <w:r>
        <w:t xml:space="preserve"> There are no Pareto improvements in the constant-sum CG. Based on game-theoretic, maximin and fairness (egalitarian) predictions, termination is predicted at the first node (Fey et al., 1996). </w:t>
      </w:r>
    </w:p>
  </w:footnote>
  <w:footnote w:id="15">
    <w:p w14:paraId="19BFF502" w14:textId="5D6CDDD6" w:rsidR="00991A78" w:rsidRDefault="00991A78" w:rsidP="00B54813">
      <w:pPr>
        <w:pStyle w:val="FootnoteText"/>
      </w:pPr>
      <w:r>
        <w:rPr>
          <w:rStyle w:val="FootnoteReference"/>
        </w:rPr>
        <w:footnoteRef/>
      </w:r>
      <w:r>
        <w:t xml:space="preserve"> In one experimental session, only 22% of participants played in accordance with the Nash equilibrium. </w:t>
      </w:r>
    </w:p>
  </w:footnote>
  <w:footnote w:id="16">
    <w:p w14:paraId="74271C66" w14:textId="77777777" w:rsidR="00991A78" w:rsidRDefault="00991A78" w:rsidP="00B54813">
      <w:pPr>
        <w:pStyle w:val="FootnoteText"/>
      </w:pPr>
      <w:r>
        <w:rPr>
          <w:rStyle w:val="FootnoteReference"/>
        </w:rPr>
        <w:footnoteRef/>
      </w:r>
      <w:r>
        <w:t xml:space="preserve"> This refers to a payoff-structure wherein total payoffs initially increase at an increasing rate (increasing marginal returns), then subsequently diminish (diminishing marginal returns) and eventually decrease (negative returns). </w:t>
      </w:r>
    </w:p>
  </w:footnote>
  <w:footnote w:id="17">
    <w:p w14:paraId="1B796A9F" w14:textId="77777777" w:rsidR="00991A78" w:rsidRDefault="00991A78" w:rsidP="00B54813">
      <w:pPr>
        <w:pStyle w:val="FootnoteText"/>
      </w:pPr>
      <w:r>
        <w:rPr>
          <w:rStyle w:val="FootnoteReference"/>
        </w:rPr>
        <w:footnoteRef/>
      </w:r>
      <w:r>
        <w:t xml:space="preserve"> Bornstein et al., (2004) also described how players avoided termination at the first or second node given relatively low payoffs in their linear CG treatment. </w:t>
      </w:r>
    </w:p>
  </w:footnote>
  <w:footnote w:id="18">
    <w:p w14:paraId="6B23CFB9" w14:textId="77777777" w:rsidR="00991A78" w:rsidRDefault="00991A78" w:rsidP="00EE0446">
      <w:pPr>
        <w:pStyle w:val="FootnoteText"/>
      </w:pPr>
      <w:r>
        <w:rPr>
          <w:rStyle w:val="FootnoteReference"/>
        </w:rPr>
        <w:footnoteRef/>
      </w:r>
      <w:r>
        <w:t xml:space="preserve"> At every odd-numbered node, the </w:t>
      </w:r>
      <w:r w:rsidRPr="00CF4271">
        <w:t>payoff of player 1 exceeds the payoff of player 2 and vice-versa at every even-numbered node (Krockow et al., 2016). A player will invariably receive a strictly larger payoff by taking, rather than passing, should</w:t>
      </w:r>
      <w:r w:rsidRPr="00580479">
        <w:t xml:space="preserve"> their opponent take in the subsequent node (Krockow et al., 2016). However, the player will receive a strictly smaller payoff by taking should the opponent pass in the subsequent</w:t>
      </w:r>
      <w:r>
        <w:t xml:space="preserve"> node (Krockow et al., 2016). </w:t>
      </w:r>
    </w:p>
  </w:footnote>
  <w:footnote w:id="19">
    <w:p w14:paraId="57E4ED28" w14:textId="77777777" w:rsidR="00991A78" w:rsidRDefault="00991A78" w:rsidP="00EE0446">
      <w:pPr>
        <w:pStyle w:val="FootnoteText"/>
      </w:pPr>
      <w:r>
        <w:rPr>
          <w:rStyle w:val="FootnoteReference"/>
        </w:rPr>
        <w:footnoteRef/>
      </w:r>
      <w:r>
        <w:t xml:space="preserve"> See also </w:t>
      </w:r>
      <w:r w:rsidRPr="00442267">
        <w:t>Mnookin and Kornhauser (1979) who argued that parental preferences vary regarding money and child-rearing responsibilities. See also Gilson and Mnookin (1994) who cited Mnookin and Kornhauser (1979) and Maccoby and Mnookin (1992) to support their conclusion that divorce-bargaining is hardly</w:t>
      </w:r>
      <w:r w:rsidRPr="00EA15F3">
        <w:t xml:space="preserve"> a zero-sum game.</w:t>
      </w:r>
      <w:r>
        <w:t xml:space="preserve">  </w:t>
      </w:r>
    </w:p>
  </w:footnote>
  <w:footnote w:id="20">
    <w:p w14:paraId="046B089A" w14:textId="77777777" w:rsidR="00991A78" w:rsidRDefault="00991A78" w:rsidP="00EE0446">
      <w:pPr>
        <w:pStyle w:val="FootnoteText"/>
      </w:pPr>
      <w:r>
        <w:rPr>
          <w:rStyle w:val="FootnoteReference"/>
        </w:rPr>
        <w:footnoteRef/>
      </w:r>
      <w:r>
        <w:t xml:space="preserve"> </w:t>
      </w:r>
      <w:r w:rsidRPr="00420941">
        <w:t>Maccoby and Mnookin (1992) furthermore considered how, on average, spouses may obtain varying intensities of custodial preferences.</w:t>
      </w:r>
      <w:r>
        <w:t xml:space="preserve"> Indeed, self-reports demonstrated a statistically significant, albeit practically small, difference in how mothers and fathers rated their feelings about custody.    </w:t>
      </w:r>
    </w:p>
  </w:footnote>
  <w:footnote w:id="21">
    <w:p w14:paraId="1935B318" w14:textId="77777777" w:rsidR="00991A78" w:rsidRDefault="00991A78" w:rsidP="00EE0446">
      <w:pPr>
        <w:pStyle w:val="FootnoteText"/>
      </w:pPr>
      <w:r>
        <w:rPr>
          <w:rStyle w:val="FootnoteReference"/>
        </w:rPr>
        <w:footnoteRef/>
      </w:r>
      <w:r>
        <w:t xml:space="preserve"> Maccoby and Mnookin (1992) define </w:t>
      </w:r>
      <w:r w:rsidRPr="00960825">
        <w:rPr>
          <w:i/>
        </w:rPr>
        <w:t>legal custody as the allocation of decision-making about such matters as child’s education, religion, healthcare etc.</w:t>
      </w:r>
      <w:r>
        <w:t xml:space="preserve"> </w:t>
      </w:r>
    </w:p>
  </w:footnote>
  <w:footnote w:id="22">
    <w:p w14:paraId="1D238D67" w14:textId="77777777" w:rsidR="00991A78" w:rsidRDefault="00991A78" w:rsidP="006A0FEF">
      <w:pPr>
        <w:pStyle w:val="FootnoteText"/>
      </w:pPr>
      <w:r>
        <w:rPr>
          <w:rStyle w:val="FootnoteReference"/>
        </w:rPr>
        <w:footnoteRef/>
      </w:r>
      <w:r>
        <w:t xml:space="preserve"> </w:t>
      </w:r>
      <w:r>
        <w:rPr>
          <w:i/>
        </w:rPr>
        <w:t>“If he were not working on this case he would be working on other cases at their hourly-</w:t>
      </w:r>
      <w:r w:rsidRPr="00357F46">
        <w:rPr>
          <w:i/>
        </w:rPr>
        <w:t xml:space="preserve">rate” </w:t>
      </w:r>
      <w:r w:rsidRPr="00357F46">
        <w:t>(Polinsky and Rubinfeld, 2003).</w:t>
      </w:r>
    </w:p>
  </w:footnote>
  <w:footnote w:id="23">
    <w:p w14:paraId="257C979A" w14:textId="77777777" w:rsidR="00AD686D" w:rsidRDefault="00AD686D" w:rsidP="00AD686D">
      <w:pPr>
        <w:pStyle w:val="FootnoteText"/>
      </w:pPr>
      <w:r>
        <w:rPr>
          <w:rStyle w:val="FootnoteReference"/>
        </w:rPr>
        <w:footnoteRef/>
      </w:r>
      <w:r>
        <w:t xml:space="preserve"> See Follet (1940) who considered a bargaining scenario between two sisters over the use of an orange, who simplistically opted to split the orange in half despite one desiring the orange peel (for baking) while the other desired to eat the fruit. Information-exchange is likely to have created joint-gains for both parties. </w:t>
      </w:r>
    </w:p>
  </w:footnote>
  <w:footnote w:id="24">
    <w:p w14:paraId="37D0BBAC" w14:textId="77777777" w:rsidR="00AD686D" w:rsidRDefault="00AD686D" w:rsidP="00AD686D">
      <w:pPr>
        <w:pStyle w:val="FootnoteText"/>
      </w:pPr>
      <w:r>
        <w:rPr>
          <w:rStyle w:val="FootnoteReference"/>
        </w:rPr>
        <w:footnoteRef/>
      </w:r>
      <w:r>
        <w:t xml:space="preserve"> </w:t>
      </w:r>
      <w:r>
        <w:rPr>
          <w:rFonts w:eastAsiaTheme="minorEastAsia"/>
          <w:color w:val="000000" w:themeColor="text1"/>
        </w:rPr>
        <w:t xml:space="preserve">The is </w:t>
      </w:r>
      <w:r w:rsidRPr="00815332">
        <w:rPr>
          <w:rFonts w:eastAsiaTheme="minorEastAsia"/>
          <w:color w:val="000000" w:themeColor="text1"/>
        </w:rPr>
        <w:t xml:space="preserve">consistent </w:t>
      </w:r>
      <w:r w:rsidRPr="00DA2021">
        <w:rPr>
          <w:rFonts w:eastAsiaTheme="minorEastAsia"/>
          <w:color w:val="000000" w:themeColor="text1"/>
        </w:rPr>
        <w:t>with Hay’s (1996) model</w:t>
      </w:r>
      <w:r>
        <w:rPr>
          <w:rFonts w:eastAsiaTheme="minorEastAsia"/>
          <w:color w:val="000000" w:themeColor="text1"/>
        </w:rPr>
        <w:t>, where additional attorney effort produced positive albeit diminishing returns.</w:t>
      </w:r>
    </w:p>
  </w:footnote>
  <w:footnote w:id="25">
    <w:p w14:paraId="5DBC8F52" w14:textId="77777777" w:rsidR="00AD686D" w:rsidRDefault="00AD686D" w:rsidP="00AD686D">
      <w:pPr>
        <w:pStyle w:val="FootnoteText"/>
      </w:pPr>
      <w:r>
        <w:rPr>
          <w:rStyle w:val="FootnoteReference"/>
        </w:rPr>
        <w:footnoteRef/>
      </w:r>
      <w:r>
        <w:t xml:space="preserve"> See </w:t>
      </w:r>
      <w:r w:rsidRPr="00EA15F3">
        <w:t>Maccoby and Mnookin (1992) who</w:t>
      </w:r>
      <w:r>
        <w:t xml:space="preserve"> discuss the financial costs associated with professional fees in the domain, but further emphasise the acute psychological costs imposed by bargaining (and still more by litigation) in divorce.  </w:t>
      </w:r>
    </w:p>
  </w:footnote>
  <w:footnote w:id="26">
    <w:p w14:paraId="570632F3" w14:textId="721EC1EA" w:rsidR="00991A78" w:rsidRDefault="00991A78" w:rsidP="00EE0446">
      <w:pPr>
        <w:pStyle w:val="FootnoteText"/>
      </w:pPr>
      <w:r>
        <w:rPr>
          <w:rStyle w:val="FootnoteReference"/>
        </w:rPr>
        <w:footnoteRef/>
      </w:r>
      <w:r>
        <w:t xml:space="preserve"> Consistent with the structure of the </w:t>
      </w:r>
      <w:r>
        <w:rPr>
          <w:rFonts w:eastAsia="Times New Roman"/>
        </w:rPr>
        <w:t>IDBG</w:t>
      </w:r>
      <w:r>
        <w:t xml:space="preserve">, lawyers may delay settlements because of, or under the guise of, non-consequentialist reasoning, specifically the pursuit of non-instrumental </w:t>
      </w:r>
      <w:r w:rsidRPr="00082828">
        <w:t>information (e.g. Bastardi and Shafir, 2000), given</w:t>
      </w:r>
      <w:r>
        <w:t xml:space="preserve"> how most people rely on a heuristic that the more </w:t>
      </w:r>
      <w:r w:rsidRPr="00C97FAF">
        <w:t>information the better (Wistrich and Rachlinsky, 2013). This search for information may be exacerbated by the fact that additional information-search may not be costly for the lawyer, potentially promoting excessive discovery (Wistrich and Rachlinsky, 2013). See also Birke and Fox (1999) who considered</w:t>
      </w:r>
      <w:r>
        <w:t xml:space="preserve"> the motivations a lawyer may have to engage in ‘over discovery’ when paid an hourly-fee, resulting in wasteful and redundant information-search regardless of its marginal value relative to marginal costs. </w:t>
      </w:r>
    </w:p>
  </w:footnote>
  <w:footnote w:id="27">
    <w:p w14:paraId="23DD7A68" w14:textId="77777777" w:rsidR="00991A78" w:rsidRDefault="00991A78" w:rsidP="00EE0446">
      <w:pPr>
        <w:pStyle w:val="FootnoteText"/>
      </w:pPr>
      <w:r>
        <w:rPr>
          <w:rStyle w:val="FootnoteReference"/>
        </w:rPr>
        <w:footnoteRef/>
      </w:r>
      <w:r>
        <w:t xml:space="preserve"> See </w:t>
      </w:r>
      <w:r w:rsidRPr="00442267">
        <w:t>also Mnookin (1985) who</w:t>
      </w:r>
      <w:r>
        <w:t xml:space="preserve"> considered how agreements, rather than court imposed “winner and loser”, better preserves the parents’ relationship with their child.  </w:t>
      </w:r>
    </w:p>
  </w:footnote>
  <w:footnote w:id="28">
    <w:p w14:paraId="02ADB15D" w14:textId="77777777" w:rsidR="00991A78" w:rsidRDefault="00991A78" w:rsidP="00EE0446">
      <w:pPr>
        <w:pStyle w:val="FootnoteText"/>
      </w:pPr>
      <w:r>
        <w:rPr>
          <w:rStyle w:val="FootnoteReference"/>
        </w:rPr>
        <w:footnoteRef/>
      </w:r>
      <w:r>
        <w:t xml:space="preserve"> The integrative production function, and thus the client’s payoff-functions can be manipulated in accordance with the extent to which the spouses possess asymmetric preferences. For example, clients with greater asymmetry of preferences may face an elongated integrative process and thus a longer game-tree. Clients with greater symmetry of preferences may face a shorter integrative process and thus a shorter game-tree. </w:t>
      </w:r>
    </w:p>
  </w:footnote>
  <w:footnote w:id="29">
    <w:p w14:paraId="5C79FE7F" w14:textId="77777777" w:rsidR="00991A78" w:rsidRDefault="00991A78" w:rsidP="00EE0446">
      <w:pPr>
        <w:pStyle w:val="FootnoteText"/>
      </w:pPr>
      <w:r>
        <w:rPr>
          <w:rStyle w:val="FootnoteReference"/>
        </w:rPr>
        <w:footnoteRef/>
      </w:r>
      <w:r>
        <w:t xml:space="preserve"> Jo (2016) considered how institutional barriers provide law firms with market power and demonstrated how this market power enables lawyers to offer their most preferred hourly-fee compensation-structure, despite this being the least popular fee-structure amongst clientele. </w:t>
      </w:r>
    </w:p>
  </w:footnote>
  <w:footnote w:id="30">
    <w:p w14:paraId="4F253371" w14:textId="296F1977" w:rsidR="00991A78" w:rsidRDefault="00991A78" w:rsidP="00EE0446">
      <w:pPr>
        <w:pStyle w:val="FootnoteText"/>
      </w:pPr>
      <w:r>
        <w:rPr>
          <w:rStyle w:val="FootnoteReference"/>
        </w:rPr>
        <w:footnoteRef/>
      </w:r>
      <w:r>
        <w:t xml:space="preserve"> The intuition behind this formulation of reputational incentives is discussed in further detail in Section 4. </w:t>
      </w:r>
    </w:p>
  </w:footnote>
  <w:footnote w:id="31">
    <w:p w14:paraId="613356B5" w14:textId="77777777" w:rsidR="00991A78" w:rsidRDefault="00991A78" w:rsidP="00EE0446">
      <w:pPr>
        <w:pStyle w:val="FootnoteText"/>
      </w:pPr>
      <w:r>
        <w:rPr>
          <w:rStyle w:val="FootnoteReference"/>
        </w:rPr>
        <w:footnoteRef/>
      </w:r>
      <w:r>
        <w:t xml:space="preserve"> In real-life, verdicts may not present all-or-nothing consequences from an objective standpoint but rather a subjective one, given the substantial transaction costs involved. For instance</w:t>
      </w:r>
      <w:r w:rsidRPr="005A0E14">
        <w:t>, Brinig and Alexeev (1993) discussed</w:t>
      </w:r>
      <w:r>
        <w:t xml:space="preserve"> the differences in custodial preferences among men and women, specifically how the loss of child custody may represent a catastrophic loss and an unacceptable gamble for women. </w:t>
      </w:r>
    </w:p>
  </w:footnote>
  <w:footnote w:id="32">
    <w:p w14:paraId="099243BC" w14:textId="77777777" w:rsidR="00991A78" w:rsidRDefault="00991A78" w:rsidP="00EE0446">
      <w:pPr>
        <w:pStyle w:val="FootnoteText"/>
      </w:pPr>
      <w:r>
        <w:rPr>
          <w:rStyle w:val="FootnoteReference"/>
        </w:rPr>
        <w:footnoteRef/>
      </w:r>
      <w:r>
        <w:t xml:space="preserve"> The </w:t>
      </w:r>
      <w:r w:rsidRPr="005A0E14">
        <w:t>certainty of trial outcomes may differ across legal jurisdictions. For instance, Brinig and Aleexev (1993)</w:t>
      </w:r>
      <w:r>
        <w:t xml:space="preserve"> detailed how divorce litigation outcomes were less predictable in Virginia than in Wisconsin.  </w:t>
      </w:r>
    </w:p>
  </w:footnote>
  <w:footnote w:id="33">
    <w:p w14:paraId="4B3D3EF0" w14:textId="77777777" w:rsidR="00991A78" w:rsidRPr="00C43E82" w:rsidRDefault="00991A78" w:rsidP="00EE0446">
      <w:pPr>
        <w:pStyle w:val="FootnoteText"/>
        <w:rPr>
          <w:rFonts w:eastAsiaTheme="minorEastAsia"/>
          <w:shd w:val="clear" w:color="auto" w:fill="FFFFFF"/>
        </w:rPr>
      </w:pPr>
      <w:r>
        <w:rPr>
          <w:rStyle w:val="FootnoteReference"/>
        </w:rPr>
        <w:footnoteRef/>
      </w:r>
      <w:r>
        <w:t xml:space="preserve"> </w:t>
      </w:r>
      <w:r>
        <w:rPr>
          <w:rFonts w:eastAsiaTheme="minorEastAsia"/>
          <w:shd w:val="clear" w:color="auto" w:fill="FFFFFF"/>
        </w:rPr>
        <w:t xml:space="preserve">Emphasis on interpersonal comparison is </w:t>
      </w:r>
      <w:r w:rsidRPr="008F7A8E">
        <w:rPr>
          <w:rFonts w:eastAsiaTheme="minorEastAsia"/>
          <w:shd w:val="clear" w:color="auto" w:fill="FFFFFF"/>
        </w:rPr>
        <w:t>also consistent with Bazerman, Loewenstein and White (1992) who determined that people display</w:t>
      </w:r>
      <w:r w:rsidRPr="009E1796">
        <w:rPr>
          <w:rFonts w:eastAsiaTheme="minorEastAsia"/>
          <w:shd w:val="clear" w:color="auto" w:fill="FFFFFF"/>
        </w:rPr>
        <w:t xml:space="preserve"> a great concern</w:t>
      </w:r>
      <w:r w:rsidRPr="002B2684">
        <w:rPr>
          <w:rFonts w:eastAsiaTheme="minorEastAsia"/>
          <w:shd w:val="clear" w:color="auto" w:fill="FFFFFF"/>
        </w:rPr>
        <w:t xml:space="preserve"> for relative payoffs when evaluating a single outcome consisting of a payoff for oneself and another</w:t>
      </w:r>
      <w:r>
        <w:rPr>
          <w:rFonts w:eastAsiaTheme="minorEastAsia"/>
          <w:shd w:val="clear" w:color="auto" w:fill="FFFFFF"/>
        </w:rPr>
        <w:t xml:space="preserve">. The authors further asserted that interpersonal outcomes may be more important than perceived fairness of procedures and outcomes in the evaluation of allocations. See </w:t>
      </w:r>
      <w:r w:rsidRPr="008F7A8E">
        <w:rPr>
          <w:rFonts w:eastAsiaTheme="minorEastAsia"/>
          <w:shd w:val="clear" w:color="auto" w:fill="FFFFFF"/>
        </w:rPr>
        <w:t>also Birke and Fox (1999) who argue that negotiators are sensitive to payoffs relative to their counterparts. In fact,</w:t>
      </w:r>
      <w:r>
        <w:rPr>
          <w:rFonts w:eastAsiaTheme="minorEastAsia"/>
          <w:shd w:val="clear" w:color="auto" w:fill="FFFFFF"/>
        </w:rPr>
        <w:t xml:space="preserve"> </w:t>
      </w:r>
      <w:r w:rsidRPr="00EA15F3">
        <w:rPr>
          <w:rFonts w:eastAsiaTheme="minorEastAsia"/>
          <w:shd w:val="clear" w:color="auto" w:fill="FFFFFF"/>
        </w:rPr>
        <w:t>Loewenstein et al., (1989) found that relative payoffs more strongly affected participants’ satisfaction with negotiated outcomes</w:t>
      </w:r>
      <w:r>
        <w:rPr>
          <w:rFonts w:eastAsiaTheme="minorEastAsia"/>
          <w:shd w:val="clear" w:color="auto" w:fill="FFFFFF"/>
        </w:rPr>
        <w:t xml:space="preserve"> than absolute outcomes. The weighting on relative outcomes may also be exacerbated by the contentious nature of divorce. Similarly, clients’ as one-shot players may be more likely to care more about securing deals at the high end of the </w:t>
      </w:r>
      <w:r w:rsidRPr="008F7A8E">
        <w:rPr>
          <w:rFonts w:eastAsiaTheme="minorEastAsia"/>
          <w:shd w:val="clear" w:color="auto" w:fill="FFFFFF"/>
        </w:rPr>
        <w:t>bargaining range, regardless of transaction costs, in comparison to repeat players (Birke and Fox, 1999).</w:t>
      </w:r>
      <w:r>
        <w:rPr>
          <w:rFonts w:eastAsiaTheme="minorEastAsia"/>
          <w:shd w:val="clear" w:color="auto" w:fill="FFFFFF"/>
        </w:rPr>
        <w:t xml:space="preserve"> </w:t>
      </w:r>
    </w:p>
  </w:footnote>
  <w:footnote w:id="34">
    <w:p w14:paraId="4A09D26B" w14:textId="77777777" w:rsidR="00991A78" w:rsidRDefault="00991A78" w:rsidP="00EE0446">
      <w:pPr>
        <w:pStyle w:val="FootnoteText"/>
      </w:pPr>
      <w:r w:rsidRPr="008E239F">
        <w:rPr>
          <w:rStyle w:val="FootnoteReference"/>
          <w:color w:val="000000" w:themeColor="text1"/>
        </w:rPr>
        <w:footnoteRef/>
      </w:r>
      <w:r w:rsidRPr="008E239F">
        <w:rPr>
          <w:color w:val="000000" w:themeColor="text1"/>
        </w:rPr>
        <w:t xml:space="preserve"> Incorporating publicity/awareness into divorce models will capture the tendency among lawyers to aggressively pursue their client’s interests in publicised cases</w:t>
      </w:r>
      <w:r>
        <w:rPr>
          <w:color w:val="000000" w:themeColor="text1"/>
        </w:rPr>
        <w:t xml:space="preserve"> </w:t>
      </w:r>
      <w:r w:rsidRPr="008E239F">
        <w:rPr>
          <w:color w:val="000000" w:themeColor="text1"/>
        </w:rPr>
        <w:t xml:space="preserve">as these will have a substantial influence over </w:t>
      </w:r>
      <w:r w:rsidRPr="00780336">
        <w:rPr>
          <w:color w:val="000000" w:themeColor="text1"/>
        </w:rPr>
        <w:t xml:space="preserve">prospective </w:t>
      </w:r>
      <w:r w:rsidRPr="00E651D4">
        <w:rPr>
          <w:color w:val="000000" w:themeColor="text1"/>
        </w:rPr>
        <w:t>clients (Zacharias, 2008).</w:t>
      </w:r>
      <w:r w:rsidRPr="008E239F">
        <w:rPr>
          <w:color w:val="000000" w:themeColor="text1"/>
        </w:rPr>
        <w:t xml:space="preserve">  </w:t>
      </w:r>
    </w:p>
  </w:footnote>
  <w:footnote w:id="35">
    <w:p w14:paraId="75DA2391" w14:textId="3E113595" w:rsidR="00991A78" w:rsidRDefault="00991A78" w:rsidP="00EE0446">
      <w:pPr>
        <w:pStyle w:val="FootnoteText"/>
      </w:pPr>
      <w:r>
        <w:rPr>
          <w:rStyle w:val="FootnoteReference"/>
        </w:rPr>
        <w:footnoteRef/>
      </w:r>
      <w:r>
        <w:t xml:space="preserve"> A recent money allocation task found that approximately 50% of participants can be characterised as inequity-averse (Epper et al., 2020)</w:t>
      </w:r>
    </w:p>
  </w:footnote>
  <w:footnote w:id="36">
    <w:p w14:paraId="4C936391" w14:textId="77777777" w:rsidR="00991A78" w:rsidRDefault="00991A78" w:rsidP="00EE0446">
      <w:pPr>
        <w:pStyle w:val="FootnoteText"/>
      </w:pPr>
      <w:r>
        <w:rPr>
          <w:rStyle w:val="FootnoteReference"/>
        </w:rPr>
        <w:footnoteRef/>
      </w:r>
      <w:r>
        <w:t xml:space="preserve"> </w:t>
      </w:r>
      <w:r w:rsidRPr="0003233D">
        <w:rPr>
          <w:color w:val="000000" w:themeColor="text1"/>
        </w:rPr>
        <w:t xml:space="preserve">An alternative outcome-based model, </w:t>
      </w:r>
      <w:r w:rsidRPr="009E33FB">
        <w:rPr>
          <w:color w:val="000000" w:themeColor="text1"/>
        </w:rPr>
        <w:t xml:space="preserve">the ERC </w:t>
      </w:r>
      <w:r w:rsidRPr="008F7A8E">
        <w:rPr>
          <w:color w:val="000000" w:themeColor="text1"/>
        </w:rPr>
        <w:t>model (Bolton and Ockenfels, 2000) was</w:t>
      </w:r>
      <w:r w:rsidRPr="00A3572D">
        <w:rPr>
          <w:color w:val="000000" w:themeColor="text1"/>
        </w:rPr>
        <w:t xml:space="preserve"> also considered</w:t>
      </w:r>
      <w:r>
        <w:rPr>
          <w:color w:val="000000" w:themeColor="text1"/>
        </w:rPr>
        <w:t xml:space="preserve"> for the purposes of this RP</w:t>
      </w:r>
      <w:r w:rsidRPr="00A3572D">
        <w:rPr>
          <w:color w:val="000000" w:themeColor="text1"/>
        </w:rPr>
        <w:t>. The ERC model assumes that individuals desire to obtain payoffs as close</w:t>
      </w:r>
      <w:r w:rsidRPr="0003233D">
        <w:rPr>
          <w:color w:val="000000" w:themeColor="text1"/>
        </w:rPr>
        <w:t xml:space="preserve"> as po</w:t>
      </w:r>
      <w:r>
        <w:rPr>
          <w:color w:val="000000" w:themeColor="text1"/>
        </w:rPr>
        <w:t>ssible to the average but the F</w:t>
      </w:r>
      <w:r w:rsidRPr="0003233D">
        <w:rPr>
          <w:color w:val="000000" w:themeColor="text1"/>
        </w:rPr>
        <w:t xml:space="preserve">S model </w:t>
      </w:r>
      <w:r>
        <w:rPr>
          <w:color w:val="000000" w:themeColor="text1"/>
        </w:rPr>
        <w:t>is utilised</w:t>
      </w:r>
      <w:r w:rsidRPr="0003233D">
        <w:rPr>
          <w:color w:val="000000" w:themeColor="text1"/>
        </w:rPr>
        <w:t xml:space="preserve"> instead because of the proposed significance of the distribution of </w:t>
      </w:r>
      <w:r>
        <w:rPr>
          <w:color w:val="000000" w:themeColor="text1"/>
        </w:rPr>
        <w:t xml:space="preserve">gains. </w:t>
      </w:r>
      <w:r w:rsidRPr="0003233D">
        <w:rPr>
          <w:color w:val="000000" w:themeColor="text1"/>
        </w:rPr>
        <w:t xml:space="preserve"> </w:t>
      </w:r>
    </w:p>
  </w:footnote>
  <w:footnote w:id="37">
    <w:p w14:paraId="7949A446" w14:textId="77777777" w:rsidR="00991A78" w:rsidRDefault="00991A78" w:rsidP="00245F90">
      <w:pPr>
        <w:pStyle w:val="FootnoteText"/>
      </w:pPr>
      <w:r>
        <w:rPr>
          <w:rStyle w:val="FootnoteReference"/>
        </w:rPr>
        <w:footnoteRef/>
      </w:r>
      <w:r>
        <w:t xml:space="preserve"> See </w:t>
      </w:r>
      <w:r w:rsidRPr="004B0E09">
        <w:t xml:space="preserve">also </w:t>
      </w:r>
      <w:r w:rsidRPr="005A0E14">
        <w:t>Lerman (2002) who</w:t>
      </w:r>
      <w:r>
        <w:t xml:space="preserve"> stated, “</w:t>
      </w:r>
      <w:r>
        <w:rPr>
          <w:i/>
        </w:rPr>
        <w:t>The legal profession attracts some people who are very competitive and quite aggressive and then trains them to be more so”.</w:t>
      </w:r>
    </w:p>
  </w:footnote>
  <w:footnote w:id="38">
    <w:p w14:paraId="6602126A" w14:textId="77777777" w:rsidR="00991A78" w:rsidRDefault="00991A78" w:rsidP="00EE0446">
      <w:pPr>
        <w:pStyle w:val="FootnoteText"/>
      </w:pPr>
      <w:r w:rsidRPr="008F7A8E">
        <w:rPr>
          <w:rStyle w:val="FootnoteReference"/>
          <w:color w:val="000000" w:themeColor="text1"/>
        </w:rPr>
        <w:footnoteRef/>
      </w:r>
      <w:r w:rsidRPr="008F7A8E">
        <w:rPr>
          <w:color w:val="000000" w:themeColor="text1"/>
        </w:rPr>
        <w:t xml:space="preserve"> Charness and Gneezy (2008) refer </w:t>
      </w:r>
      <w:r w:rsidRPr="008F7A8E">
        <w:t>to social distance as the emotional proximity induced by the situation.</w:t>
      </w:r>
      <w:r>
        <w:t xml:space="preserve"> </w:t>
      </w:r>
    </w:p>
  </w:footnote>
  <w:footnote w:id="39">
    <w:p w14:paraId="78896643" w14:textId="77777777" w:rsidR="00991A78" w:rsidRDefault="00991A78" w:rsidP="00EE0446">
      <w:pPr>
        <w:pStyle w:val="FootnoteText"/>
      </w:pPr>
      <w:r>
        <w:rPr>
          <w:rStyle w:val="FootnoteReference"/>
        </w:rPr>
        <w:footnoteRef/>
      </w:r>
      <w:r>
        <w:t xml:space="preserve"> This </w:t>
      </w:r>
      <w:r w:rsidRPr="008F7A8E">
        <w:t>echoes Brams and Taylor’s (1995) notion</w:t>
      </w:r>
      <w:r w:rsidRPr="009E1796">
        <w:t xml:space="preserve"> of ‘envy free’ in that neither party would trade their share for their rival’s share.</w:t>
      </w:r>
    </w:p>
  </w:footnote>
  <w:footnote w:id="40">
    <w:p w14:paraId="0D1FB32E" w14:textId="77777777" w:rsidR="00991A78" w:rsidRPr="004E4C9B" w:rsidRDefault="00991A78" w:rsidP="00EE0446">
      <w:pPr>
        <w:pStyle w:val="FootnoteText"/>
      </w:pPr>
      <w:r>
        <w:rPr>
          <w:rStyle w:val="FootnoteReference"/>
        </w:rPr>
        <w:footnoteRef/>
      </w:r>
      <w:r>
        <w:t xml:space="preserve"> L</w:t>
      </w:r>
      <w:r>
        <w:rPr>
          <w:vertAlign w:val="subscript"/>
        </w:rPr>
        <w:t>1</w:t>
      </w:r>
      <w:r>
        <w:t xml:space="preserve">’s upper bound epsilon equals </w:t>
      </w:r>
      <m:oMath>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t>
                </m:r>
                <m:r>
                  <m:rPr>
                    <m:sty m:val="p"/>
                  </m:rPr>
                  <w:rPr>
                    <w:rFonts w:ascii="Cambria Math" w:hAnsi="Cambria Math"/>
                    <w:color w:val="000000" w:themeColor="text1"/>
                  </w:rPr>
                  <m:t>X</m:t>
                </m:r>
              </m:e>
              <m:sub>
                <m:r>
                  <m:rPr>
                    <m:sty m:val="p"/>
                  </m:rPr>
                  <w:rPr>
                    <w:rFonts w:ascii="Cambria Math" w:hAnsi="Cambria Math"/>
                    <w:color w:val="000000" w:themeColor="text1"/>
                    <w:vertAlign w:val="subscript"/>
                  </w:rPr>
                  <m:t xml:space="preserve">L1,t </m:t>
                </m:r>
              </m:sub>
            </m:sSub>
          </m:num>
          <m:den>
            <m:r>
              <w:rPr>
                <w:rFonts w:ascii="Cambria Math" w:eastAsiaTheme="minorEastAsia" w:hAnsi="Cambria Math"/>
                <w:color w:val="000000" w:themeColor="text1"/>
              </w:rPr>
              <m:t>|</m:t>
            </m:r>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m:rPr>
                    <m:sty m:val="p"/>
                  </m:rPr>
                  <w:rPr>
                    <w:rFonts w:ascii="Cambria Math" w:eastAsiaTheme="minorEastAsia" w:hAnsi="Cambria Math"/>
                    <w:color w:val="000000" w:themeColor="text1"/>
                    <w:vertAlign w:val="subscript"/>
                  </w:rPr>
                  <m:t>C1,t</m:t>
                </m:r>
              </m:sub>
            </m:sSub>
            <m:r>
              <w:rPr>
                <w:rFonts w:ascii="Cambria Math" w:eastAsiaTheme="minorEastAsia" w:hAnsi="Cambria Math"/>
                <w:color w:val="000000" w:themeColor="text1"/>
              </w:rPr>
              <m:t>|</m:t>
            </m:r>
          </m:den>
        </m:f>
      </m:oMath>
    </w:p>
  </w:footnote>
  <w:footnote w:id="41">
    <w:p w14:paraId="03C6FB0B" w14:textId="77777777" w:rsidR="00991A78" w:rsidRDefault="00991A78" w:rsidP="00F82C91">
      <w:pPr>
        <w:pStyle w:val="FootnoteText"/>
      </w:pPr>
      <w:r>
        <w:rPr>
          <w:rStyle w:val="FootnoteReference"/>
        </w:rPr>
        <w:footnoteRef/>
      </w:r>
      <w:r>
        <w:t xml:space="preserve"> </w:t>
      </w:r>
      <m:oMath>
        <m:r>
          <w:rPr>
            <w:rFonts w:ascii="Cambria Math" w:eastAsiaTheme="minorEastAsia" w:hAnsi="Cambria Math"/>
            <w:shd w:val="clear" w:color="auto" w:fill="FFFFFF"/>
          </w:rPr>
          <m:t>%</m:t>
        </m:r>
        <m:r>
          <m:rPr>
            <m:sty m:val="p"/>
          </m:rPr>
          <w:rPr>
            <w:rFonts w:ascii="Cambria Math" w:eastAsiaTheme="minorEastAsia" w:hAnsi="Cambria Math"/>
            <w:color w:val="000000" w:themeColor="text1"/>
          </w:rPr>
          <m:t>∆X</m:t>
        </m:r>
      </m:oMath>
      <w:r>
        <w:rPr>
          <w:rFonts w:eastAsiaTheme="minorEastAsia"/>
          <w:color w:val="000000" w:themeColor="text1"/>
        </w:rPr>
        <w:t xml:space="preserve"> </w:t>
      </w:r>
      <w:r w:rsidRPr="008E587B">
        <w:rPr>
          <w:rFonts w:eastAsiaTheme="minorEastAsia"/>
          <w:color w:val="000000" w:themeColor="text1"/>
        </w:rPr>
        <w:t>denotes the percentage difference in hourly-rates in decimal points</w:t>
      </w:r>
    </w:p>
  </w:footnote>
  <w:footnote w:id="42">
    <w:p w14:paraId="1AFAEF8D" w14:textId="77777777" w:rsidR="00991A78" w:rsidRDefault="00991A78" w:rsidP="00EE0446">
      <w:pPr>
        <w:pStyle w:val="FootnoteText"/>
      </w:pPr>
      <w:r>
        <w:rPr>
          <w:rStyle w:val="FootnoteReference"/>
        </w:rPr>
        <w:footnoteRef/>
      </w:r>
      <w:r>
        <w:t xml:space="preserve"> This statistic may be misleading, in that rather than agency causing prolongation, clients in more complex (and potentially lengthy) disputes may be more likely to hire agents. However, using an estimation strategy that accounted for </w:t>
      </w:r>
      <w:r w:rsidRPr="00FA1A61">
        <w:t xml:space="preserve">confounding </w:t>
      </w:r>
      <w:r w:rsidRPr="00DA2021">
        <w:t>factors, Halla (2007) still</w:t>
      </w:r>
      <w:r>
        <w:t xml:space="preserve"> finds that the involvement of two representatives prolongs divorce by an average of 67 days, and this was found to be statistically significant. </w:t>
      </w:r>
    </w:p>
  </w:footnote>
  <w:footnote w:id="43">
    <w:p w14:paraId="27C4C78B" w14:textId="77777777" w:rsidR="00991A78" w:rsidRPr="00B37D18" w:rsidRDefault="00991A78" w:rsidP="00EE0446">
      <w:pPr>
        <w:pStyle w:val="p1"/>
        <w:rPr>
          <w:rFonts w:ascii="Times New Roman" w:eastAsia="Times New Roman" w:hAnsi="Times New Roman"/>
          <w:color w:val="000000"/>
          <w:sz w:val="24"/>
          <w:szCs w:val="24"/>
          <w:shd w:val="clear" w:color="auto" w:fill="FFFFFF"/>
        </w:rPr>
      </w:pPr>
      <w:r>
        <w:rPr>
          <w:rStyle w:val="FootnoteReference"/>
        </w:rPr>
        <w:footnoteRef/>
      </w:r>
      <w:r>
        <w:t xml:space="preserve"> </w:t>
      </w:r>
      <w:r w:rsidRPr="0053364B">
        <w:rPr>
          <w:rFonts w:ascii="Times New Roman" w:eastAsia="Times New Roman" w:hAnsi="Times New Roman"/>
          <w:color w:val="000000"/>
          <w:sz w:val="24"/>
          <w:szCs w:val="24"/>
          <w:shd w:val="clear" w:color="auto" w:fill="FFFFFF"/>
        </w:rPr>
        <w:t xml:space="preserve">The relatively small magnitude of punishment/reward is </w:t>
      </w:r>
      <w:r w:rsidRPr="007012AE">
        <w:rPr>
          <w:rFonts w:ascii="Times New Roman" w:eastAsia="Times New Roman" w:hAnsi="Times New Roman"/>
          <w:color w:val="000000"/>
          <w:sz w:val="24"/>
          <w:szCs w:val="24"/>
          <w:shd w:val="clear" w:color="auto" w:fill="FFFFFF"/>
        </w:rPr>
        <w:t>consistent with Zacharias (2008)</w:t>
      </w:r>
      <w:r w:rsidRPr="0053364B">
        <w:rPr>
          <w:rFonts w:ascii="Times New Roman" w:eastAsia="Times New Roman" w:hAnsi="Times New Roman"/>
          <w:color w:val="000000"/>
          <w:sz w:val="24"/>
          <w:szCs w:val="24"/>
          <w:shd w:val="clear" w:color="auto" w:fill="FFFFFF"/>
        </w:rPr>
        <w:t xml:space="preserve"> who suggested that in real-life, unsophisticated clients may, at best, select their lawyers based on vague word of mouth.</w:t>
      </w:r>
    </w:p>
  </w:footnote>
  <w:footnote w:id="44">
    <w:p w14:paraId="4327F8BC" w14:textId="77777777" w:rsidR="00991A78" w:rsidRDefault="00991A78" w:rsidP="00EE0446">
      <w:pPr>
        <w:pStyle w:val="FootnoteText"/>
      </w:pPr>
      <w:r>
        <w:rPr>
          <w:rStyle w:val="FootnoteReference"/>
        </w:rPr>
        <w:footnoteRef/>
      </w:r>
      <w:r>
        <w:t xml:space="preserve"> </w:t>
      </w:r>
      <w:r w:rsidRPr="008F7A8E">
        <w:t>See Bottom et al., (2006) who</w:t>
      </w:r>
      <w:r>
        <w:t xml:space="preserve"> argued that asymmetric information may be such that principals are incapable of determining whether an agent’s performance is the product of their effort or circumstances beyond their control</w:t>
      </w:r>
      <w:r w:rsidRPr="00DA2021">
        <w:t>. See also Hadfield (2000) who</w:t>
      </w:r>
      <w:r>
        <w:t xml:space="preserve"> asserted that there is difficulty in attributing legal outcomes to a lawyer’s quality, complicating assessment and comparisons between suppliers.</w:t>
      </w:r>
    </w:p>
  </w:footnote>
  <w:footnote w:id="45">
    <w:p w14:paraId="6F7E2AF2" w14:textId="77777777" w:rsidR="00991A78" w:rsidRDefault="00991A78" w:rsidP="00EE0446">
      <w:pPr>
        <w:pStyle w:val="FootnoteText"/>
      </w:pPr>
      <w:r>
        <w:rPr>
          <w:rStyle w:val="FootnoteReference"/>
        </w:rPr>
        <w:footnoteRef/>
      </w:r>
      <w:r>
        <w:t xml:space="preserve"> </w:t>
      </w:r>
      <w:r w:rsidRPr="00DA1A21">
        <w:t xml:space="preserve">See </w:t>
      </w:r>
      <w:r w:rsidRPr="00DA2021">
        <w:t>Gould (1973) who</w:t>
      </w:r>
      <w:r>
        <w:t xml:space="preserve"> developed a theory that trials in civil disputes occur due to optimism.</w:t>
      </w:r>
      <w:r w:rsidRPr="00B67FE9">
        <w:t xml:space="preserve"> </w:t>
      </w:r>
      <w:r>
        <w:t xml:space="preserve">See </w:t>
      </w:r>
      <w:r w:rsidRPr="007012AE">
        <w:t>also Hirshleifer and Osborne (2001)</w:t>
      </w:r>
      <w:r w:rsidRPr="00160745">
        <w:t xml:space="preserve"> who suggested that optimistic lawyers may overestimate their chance of prevailing at trial, inducing risk-seeking behaviour which will make litigation more </w:t>
      </w:r>
      <w:r w:rsidRPr="008F7A8E">
        <w:t>likely. See also Birke and Fox (1999) for a</w:t>
      </w:r>
      <w:r w:rsidRPr="00160745">
        <w:t xml:space="preserve"> discussion on </w:t>
      </w:r>
      <w:r>
        <w:t xml:space="preserve">lawyers’ </w:t>
      </w:r>
      <w:r w:rsidRPr="00160745">
        <w:t>unrealistic optimism and overconfidence with respect to negotiations</w:t>
      </w:r>
      <w:r>
        <w:t xml:space="preserve"> and trial outcomes.</w:t>
      </w:r>
    </w:p>
  </w:footnote>
  <w:footnote w:id="46">
    <w:p w14:paraId="56428045" w14:textId="77777777" w:rsidR="00991A78" w:rsidRDefault="00991A78" w:rsidP="00EE0446">
      <w:pPr>
        <w:pStyle w:val="FootnoteText"/>
      </w:pPr>
      <w:r>
        <w:rPr>
          <w:rStyle w:val="FootnoteReference"/>
        </w:rPr>
        <w:footnoteRef/>
      </w:r>
      <w:r>
        <w:t xml:space="preserve"> This may be supported by the availability heuristic, in that lawyers may overestimate another lawyer’s chance of winning at trial if they have recently done so. </w:t>
      </w:r>
    </w:p>
  </w:footnote>
  <w:footnote w:id="47">
    <w:p w14:paraId="503FC8BB" w14:textId="57B51FE4" w:rsidR="00991A78" w:rsidRPr="006E4C50" w:rsidRDefault="00991A78" w:rsidP="00EE0446">
      <w:pPr>
        <w:pStyle w:val="p1"/>
        <w:rPr>
          <w:sz w:val="15"/>
          <w:szCs w:val="15"/>
        </w:rPr>
      </w:pPr>
      <w:r w:rsidRPr="00425C89">
        <w:rPr>
          <w:rStyle w:val="FootnoteReference"/>
          <w:sz w:val="24"/>
          <w:szCs w:val="24"/>
        </w:rPr>
        <w:footnoteRef/>
      </w:r>
      <w:r w:rsidRPr="00425C89">
        <w:rPr>
          <w:rStyle w:val="FootnoteReference"/>
        </w:rPr>
        <w:t xml:space="preserve"> </w:t>
      </w:r>
      <w:r w:rsidRPr="009450D3">
        <w:rPr>
          <w:rFonts w:ascii="Times New Roman" w:hAnsi="Times New Roman"/>
          <w:sz w:val="24"/>
          <w:szCs w:val="24"/>
        </w:rPr>
        <w:t xml:space="preserve">In explaining systematic deviations from equilibrium-play in the </w:t>
      </w:r>
      <w:r>
        <w:rPr>
          <w:rFonts w:ascii="Times New Roman" w:hAnsi="Times New Roman"/>
          <w:sz w:val="24"/>
          <w:szCs w:val="24"/>
        </w:rPr>
        <w:t>CG</w:t>
      </w:r>
      <w:r w:rsidRPr="009450D3">
        <w:rPr>
          <w:rFonts w:ascii="Times New Roman" w:hAnsi="Times New Roman"/>
          <w:sz w:val="24"/>
          <w:szCs w:val="24"/>
        </w:rPr>
        <w:t xml:space="preserve">, scholars have offered models that relax the assumption of common </w:t>
      </w:r>
      <w:r w:rsidRPr="007012AE">
        <w:rPr>
          <w:rFonts w:ascii="Times New Roman" w:hAnsi="Times New Roman"/>
          <w:sz w:val="24"/>
          <w:szCs w:val="24"/>
        </w:rPr>
        <w:t>knowledge of rationality (McKelvey and Palfrey, 1992; Palacios-Huerta and Volij, 2009; García-Pola, Iriberri and Kovářík, 2020). These models assume that players may have non-equilibrium beliefs or expect others to have them (García-Pola et al., 2000). See for instance McKelvey and Palfrey (1992) who</w:t>
      </w:r>
      <w:r>
        <w:rPr>
          <w:rFonts w:ascii="Times New Roman" w:hAnsi="Times New Roman"/>
          <w:sz w:val="24"/>
          <w:szCs w:val="24"/>
        </w:rPr>
        <w:t xml:space="preserve"> explained deviations from equilibrium-play on reputation effects and informational asymmetries </w:t>
      </w:r>
      <w:r w:rsidRPr="00CF4271">
        <w:rPr>
          <w:rFonts w:ascii="Times New Roman" w:hAnsi="Times New Roman"/>
          <w:sz w:val="24"/>
          <w:szCs w:val="24"/>
        </w:rPr>
        <w:t>based on Kreps et al., (1982). Deviations</w:t>
      </w:r>
      <w:r>
        <w:rPr>
          <w:rFonts w:ascii="Times New Roman" w:hAnsi="Times New Roman"/>
          <w:sz w:val="24"/>
          <w:szCs w:val="24"/>
        </w:rPr>
        <w:t xml:space="preserve"> from equilibrium-play may therefore be explained by an incentive that players may have to mimic ‘irrational’ behaviour, if they believe their opponent will follow suit. </w:t>
      </w:r>
    </w:p>
  </w:footnote>
  <w:footnote w:id="48">
    <w:p w14:paraId="3A049CD4" w14:textId="77777777" w:rsidR="00991A78" w:rsidRDefault="00991A78" w:rsidP="00EE0446">
      <w:pPr>
        <w:pStyle w:val="FootnoteText"/>
      </w:pPr>
      <w:r>
        <w:rPr>
          <w:rStyle w:val="FootnoteReference"/>
        </w:rPr>
        <w:footnoteRef/>
      </w:r>
      <w:r>
        <w:t xml:space="preserve"> This </w:t>
      </w:r>
      <w:r w:rsidRPr="00083106">
        <w:t xml:space="preserve">is </w:t>
      </w:r>
      <w:r w:rsidRPr="00CF4271">
        <w:t>consistent with Lax and Sebenius (1986): “</w:t>
      </w:r>
      <w:r w:rsidRPr="00CF4271">
        <w:rPr>
          <w:i/>
        </w:rPr>
        <w:t>Though</w:t>
      </w:r>
      <w:r w:rsidRPr="00885203">
        <w:rPr>
          <w:i/>
        </w:rPr>
        <w:t xml:space="preserve"> the client may not in the least care about counsel’s subsequent reputation, the lawyer may take actions to enhance it that risk the present client’s interests.</w:t>
      </w:r>
      <w:r>
        <w:t>”</w:t>
      </w:r>
    </w:p>
  </w:footnote>
  <w:footnote w:id="49">
    <w:p w14:paraId="744AF493" w14:textId="47F98FC3" w:rsidR="0010197F" w:rsidRDefault="0010197F" w:rsidP="0010197F">
      <w:pPr>
        <w:pStyle w:val="FootnoteText"/>
      </w:pPr>
      <w:r>
        <w:rPr>
          <w:rStyle w:val="FootnoteReference"/>
        </w:rPr>
        <w:footnoteRef/>
      </w:r>
      <w:r>
        <w:t xml:space="preserve"> See </w:t>
      </w:r>
      <w:r w:rsidRPr="009E0E10">
        <w:t>also Heinz et al., (2005)</w:t>
      </w:r>
      <w:r>
        <w:t xml:space="preserve"> who reported that the ethical conduct assigned to divorce attorneys was the lowest amongst 42 fields. </w:t>
      </w:r>
      <w:r w:rsidR="00F46408">
        <w:t>Notably however,</w:t>
      </w:r>
      <w:r w:rsidRPr="00C40FC5">
        <w:t xml:space="preserve"> Mather and McEwen (2012)</w:t>
      </w:r>
      <w:r>
        <w:t xml:space="preserve"> argue that their negative reputation is the product of, among other things, the complicated and emotional circumstances of divorce. </w:t>
      </w:r>
    </w:p>
  </w:footnote>
  <w:footnote w:id="50">
    <w:p w14:paraId="23EDEAFC" w14:textId="77777777" w:rsidR="00F46408" w:rsidRDefault="00F46408" w:rsidP="00F46408">
      <w:pPr>
        <w:pStyle w:val="FootnoteText"/>
      </w:pPr>
      <w:r>
        <w:rPr>
          <w:rStyle w:val="FootnoteReference"/>
        </w:rPr>
        <w:footnoteRef/>
      </w:r>
      <w:r>
        <w:t xml:space="preserve"> Approximately 20% of fathers who have stated they wanted maternal custody ended up requesting joint-physical or father physical custody (Maccoby and Mnookin, 1992).  </w:t>
      </w:r>
    </w:p>
  </w:footnote>
  <w:footnote w:id="51">
    <w:p w14:paraId="71A4909C" w14:textId="314553AF" w:rsidR="00991A78" w:rsidRDefault="00991A78" w:rsidP="00EE0446">
      <w:pPr>
        <w:pStyle w:val="FootnoteText"/>
      </w:pPr>
      <w:r>
        <w:rPr>
          <w:rStyle w:val="FootnoteReference"/>
        </w:rPr>
        <w:footnoteRef/>
      </w:r>
      <w:r>
        <w:t xml:space="preserve"> This refers to how legal rules may provide parties with certain ‘bargaining chips’ that establish relative bargaining power (Mnookin and Kornhauser, 1979). Indeed, divorce-laws may impact divorce negotiations outside of the courtroom by providing certain parties with ‘bargaining chips’, should these laws favour their interests in court should the negotiations fail to settle (Mnookin and Kornhauser, 1979). See </w:t>
      </w:r>
      <w:r w:rsidRPr="00C97FAF">
        <w:t>also Mnookin (1985) who considers how the rules and process of adjudication might affect bargaining processes</w:t>
      </w:r>
      <w:r>
        <w:t xml:space="preserve"> outside the courtroom.  </w:t>
      </w:r>
    </w:p>
  </w:footnote>
  <w:footnote w:id="52">
    <w:p w14:paraId="393A051C" w14:textId="77777777" w:rsidR="00991A78" w:rsidRDefault="00991A78" w:rsidP="00D73662">
      <w:pPr>
        <w:pStyle w:val="FootnoteText"/>
      </w:pPr>
      <w:r>
        <w:rPr>
          <w:rStyle w:val="FootnoteReference"/>
        </w:rPr>
        <w:footnoteRef/>
      </w:r>
      <w:r>
        <w:t xml:space="preserve"> Individuals tend to assume that the easier it is to recall something, the more common it is </w:t>
      </w:r>
      <w:r w:rsidRPr="008F7A8E">
        <w:t>(Birke and Fox, 1999). The</w:t>
      </w:r>
      <w:r>
        <w:t xml:space="preserve"> effect that a trial-win may therefore have on a client’s perception of a lawyer’s quality in court is therefore likely to diminish overtime as this event becomes less likely to be recalled.  </w:t>
      </w:r>
    </w:p>
  </w:footnote>
  <w:footnote w:id="53">
    <w:p w14:paraId="02F4381D" w14:textId="2FD9A8E1" w:rsidR="00991A78" w:rsidRDefault="00991A78" w:rsidP="00EE0446">
      <w:pPr>
        <w:pStyle w:val="FootnoteText"/>
      </w:pPr>
      <w:r>
        <w:rPr>
          <w:rStyle w:val="FootnoteReference"/>
        </w:rPr>
        <w:footnoteRef/>
      </w:r>
      <w:r>
        <w:t xml:space="preserve"> This refers to clients who do not hire legal representation. </w:t>
      </w:r>
    </w:p>
  </w:footnote>
  <w:footnote w:id="54">
    <w:p w14:paraId="5E807FE0" w14:textId="77777777" w:rsidR="00991A78" w:rsidRDefault="00991A78" w:rsidP="00EE0446">
      <w:pPr>
        <w:pStyle w:val="FootnoteText"/>
      </w:pPr>
      <w:r>
        <w:rPr>
          <w:rStyle w:val="FootnoteReference"/>
        </w:rPr>
        <w:footnoteRef/>
      </w:r>
      <w:r>
        <w:t xml:space="preserve"> Varying certainties regarding court outcomes will influence the bounds of negotiations </w:t>
      </w:r>
      <w:r w:rsidRPr="00762BAC">
        <w:t>(Wilkinson-Ryan and Small, 2008)</w:t>
      </w:r>
      <w:r>
        <w:t xml:space="preserve"> </w:t>
      </w:r>
    </w:p>
  </w:footnote>
  <w:footnote w:id="55">
    <w:p w14:paraId="7E040CC3" w14:textId="3120D8E9" w:rsidR="00991A78" w:rsidRPr="00782ADF" w:rsidRDefault="00991A78" w:rsidP="009007E4">
      <w:pPr>
        <w:rPr>
          <w:rFonts w:eastAsiaTheme="minorEastAsia"/>
          <w:shd w:val="clear" w:color="auto" w:fill="FFFFFF"/>
        </w:rPr>
      </w:pPr>
      <w:r>
        <w:rPr>
          <w:rStyle w:val="FootnoteReference"/>
        </w:rPr>
        <w:footnoteRef/>
      </w:r>
      <w:r>
        <w:t xml:space="preserve"> </w:t>
      </w:r>
      <w:r w:rsidR="007D5AE4">
        <w:t xml:space="preserve">WOM and online reviews rank as the second and third most popular choice for the first resource used when searching for an attorney (Martindale-Avvo, 2021). </w:t>
      </w:r>
      <w:r>
        <w:t xml:space="preserve">Search engines were </w:t>
      </w:r>
      <w:r w:rsidR="00B463FD">
        <w:t xml:space="preserve">the most popular choice at 34%, </w:t>
      </w:r>
      <w:r>
        <w:t>with WOM (28%) and online reviews (20%) following as the second and third most popular.</w:t>
      </w:r>
      <w:r>
        <w:rPr>
          <w:rFonts w:eastAsiaTheme="minorEastAsia"/>
          <w:shd w:val="clear" w:color="auto" w:fill="FFFFFF"/>
        </w:rPr>
        <w:t>Once a potential lawyer is identified, online reviews were the most popular resource to consult to inform decision about hiring.</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C05FE4"/>
    <w:multiLevelType w:val="hybridMultilevel"/>
    <w:tmpl w:val="3E360A18"/>
    <w:lvl w:ilvl="0" w:tplc="B82CDE5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43370A7"/>
    <w:multiLevelType w:val="hybridMultilevel"/>
    <w:tmpl w:val="FA788B60"/>
    <w:lvl w:ilvl="0" w:tplc="16ECBB74">
      <w:start w:val="1"/>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A5F3FE6"/>
    <w:multiLevelType w:val="hybridMultilevel"/>
    <w:tmpl w:val="65061FB0"/>
    <w:lvl w:ilvl="0" w:tplc="5C70A85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3F74699"/>
    <w:multiLevelType w:val="hybridMultilevel"/>
    <w:tmpl w:val="81F2AF7E"/>
    <w:lvl w:ilvl="0" w:tplc="EF589AC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507314CF"/>
    <w:multiLevelType w:val="multilevel"/>
    <w:tmpl w:val="D988EC2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567B0587"/>
    <w:multiLevelType w:val="hybridMultilevel"/>
    <w:tmpl w:val="01F67FE6"/>
    <w:lvl w:ilvl="0" w:tplc="0809000F">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626209E8"/>
    <w:multiLevelType w:val="hybridMultilevel"/>
    <w:tmpl w:val="601A2B1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62B03901"/>
    <w:multiLevelType w:val="hybridMultilevel"/>
    <w:tmpl w:val="528048C6"/>
    <w:lvl w:ilvl="0" w:tplc="08090001">
      <w:start w:val="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71EE17B4"/>
    <w:multiLevelType w:val="multilevel"/>
    <w:tmpl w:val="1B06153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76A31851"/>
    <w:multiLevelType w:val="multilevel"/>
    <w:tmpl w:val="1B06153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9"/>
  </w:num>
  <w:num w:numId="2">
    <w:abstractNumId w:val="6"/>
  </w:num>
  <w:num w:numId="3">
    <w:abstractNumId w:val="7"/>
  </w:num>
  <w:num w:numId="4">
    <w:abstractNumId w:val="0"/>
  </w:num>
  <w:num w:numId="5">
    <w:abstractNumId w:val="3"/>
  </w:num>
  <w:num w:numId="6">
    <w:abstractNumId w:val="2"/>
  </w:num>
  <w:num w:numId="7">
    <w:abstractNumId w:val="1"/>
  </w:num>
  <w:num w:numId="8">
    <w:abstractNumId w:val="5"/>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053"/>
    <w:rsid w:val="000035CD"/>
    <w:rsid w:val="000154D4"/>
    <w:rsid w:val="00026DCE"/>
    <w:rsid w:val="00026F9D"/>
    <w:rsid w:val="00032E0D"/>
    <w:rsid w:val="00040708"/>
    <w:rsid w:val="00043EEB"/>
    <w:rsid w:val="000668EB"/>
    <w:rsid w:val="0008241A"/>
    <w:rsid w:val="00082828"/>
    <w:rsid w:val="00084B77"/>
    <w:rsid w:val="0008760B"/>
    <w:rsid w:val="00092F70"/>
    <w:rsid w:val="000C0D34"/>
    <w:rsid w:val="000C49CF"/>
    <w:rsid w:val="0010197F"/>
    <w:rsid w:val="001119ED"/>
    <w:rsid w:val="0011632D"/>
    <w:rsid w:val="00130AF3"/>
    <w:rsid w:val="00162697"/>
    <w:rsid w:val="00164DB8"/>
    <w:rsid w:val="001774BA"/>
    <w:rsid w:val="001A2526"/>
    <w:rsid w:val="001B2759"/>
    <w:rsid w:val="001B64D8"/>
    <w:rsid w:val="001C18BE"/>
    <w:rsid w:val="001D76D8"/>
    <w:rsid w:val="001E3159"/>
    <w:rsid w:val="001F1DC9"/>
    <w:rsid w:val="00221366"/>
    <w:rsid w:val="00223E81"/>
    <w:rsid w:val="00226585"/>
    <w:rsid w:val="00233ECD"/>
    <w:rsid w:val="00245F90"/>
    <w:rsid w:val="00253677"/>
    <w:rsid w:val="0025565B"/>
    <w:rsid w:val="0026506B"/>
    <w:rsid w:val="00267D01"/>
    <w:rsid w:val="002705E7"/>
    <w:rsid w:val="00280007"/>
    <w:rsid w:val="00287E77"/>
    <w:rsid w:val="002B1538"/>
    <w:rsid w:val="002C648A"/>
    <w:rsid w:val="002D549E"/>
    <w:rsid w:val="002E6B0B"/>
    <w:rsid w:val="002F59BC"/>
    <w:rsid w:val="002F5DBD"/>
    <w:rsid w:val="003247F8"/>
    <w:rsid w:val="00341FE1"/>
    <w:rsid w:val="00357F46"/>
    <w:rsid w:val="00377B06"/>
    <w:rsid w:val="003A2F6A"/>
    <w:rsid w:val="003B1483"/>
    <w:rsid w:val="003C177C"/>
    <w:rsid w:val="003C233B"/>
    <w:rsid w:val="003E63CA"/>
    <w:rsid w:val="00414149"/>
    <w:rsid w:val="0043629A"/>
    <w:rsid w:val="00442267"/>
    <w:rsid w:val="00447102"/>
    <w:rsid w:val="00464C08"/>
    <w:rsid w:val="00480E8F"/>
    <w:rsid w:val="004839F9"/>
    <w:rsid w:val="004B6284"/>
    <w:rsid w:val="004C0E30"/>
    <w:rsid w:val="00512056"/>
    <w:rsid w:val="00514375"/>
    <w:rsid w:val="00521D69"/>
    <w:rsid w:val="0053534E"/>
    <w:rsid w:val="00564493"/>
    <w:rsid w:val="00571585"/>
    <w:rsid w:val="005A0E14"/>
    <w:rsid w:val="005B3595"/>
    <w:rsid w:val="005C3613"/>
    <w:rsid w:val="005C7454"/>
    <w:rsid w:val="005E0992"/>
    <w:rsid w:val="005F20D1"/>
    <w:rsid w:val="00643D16"/>
    <w:rsid w:val="00646FCC"/>
    <w:rsid w:val="006558D1"/>
    <w:rsid w:val="00662BF7"/>
    <w:rsid w:val="006637BC"/>
    <w:rsid w:val="006845F1"/>
    <w:rsid w:val="00694B08"/>
    <w:rsid w:val="006A0FEF"/>
    <w:rsid w:val="006A4012"/>
    <w:rsid w:val="006A7776"/>
    <w:rsid w:val="006C07F0"/>
    <w:rsid w:val="006C58EC"/>
    <w:rsid w:val="006D5152"/>
    <w:rsid w:val="006E0605"/>
    <w:rsid w:val="006F7A28"/>
    <w:rsid w:val="007012AE"/>
    <w:rsid w:val="00711EF9"/>
    <w:rsid w:val="00720FCD"/>
    <w:rsid w:val="00730790"/>
    <w:rsid w:val="00745EE3"/>
    <w:rsid w:val="00762BAC"/>
    <w:rsid w:val="00785C85"/>
    <w:rsid w:val="00786EED"/>
    <w:rsid w:val="00792FAA"/>
    <w:rsid w:val="007B0812"/>
    <w:rsid w:val="007B2CB8"/>
    <w:rsid w:val="007D5AE4"/>
    <w:rsid w:val="007E77E5"/>
    <w:rsid w:val="007E7A33"/>
    <w:rsid w:val="0082041E"/>
    <w:rsid w:val="00831BEF"/>
    <w:rsid w:val="00837B11"/>
    <w:rsid w:val="008517EB"/>
    <w:rsid w:val="0086456F"/>
    <w:rsid w:val="00874F15"/>
    <w:rsid w:val="00886DA6"/>
    <w:rsid w:val="008B4690"/>
    <w:rsid w:val="008B7317"/>
    <w:rsid w:val="008C1BC6"/>
    <w:rsid w:val="008C3235"/>
    <w:rsid w:val="008C6EBB"/>
    <w:rsid w:val="008D3388"/>
    <w:rsid w:val="008D3673"/>
    <w:rsid w:val="008E1BA6"/>
    <w:rsid w:val="008E5298"/>
    <w:rsid w:val="008F18F5"/>
    <w:rsid w:val="008F3057"/>
    <w:rsid w:val="008F7A8E"/>
    <w:rsid w:val="009007E4"/>
    <w:rsid w:val="00902B2E"/>
    <w:rsid w:val="009146A4"/>
    <w:rsid w:val="0093295B"/>
    <w:rsid w:val="009508D3"/>
    <w:rsid w:val="009645CA"/>
    <w:rsid w:val="00967736"/>
    <w:rsid w:val="00972C8C"/>
    <w:rsid w:val="00991129"/>
    <w:rsid w:val="00991A78"/>
    <w:rsid w:val="00991B4C"/>
    <w:rsid w:val="009A4A3D"/>
    <w:rsid w:val="009B5901"/>
    <w:rsid w:val="009C46C3"/>
    <w:rsid w:val="009D2691"/>
    <w:rsid w:val="009E1796"/>
    <w:rsid w:val="009F0FF1"/>
    <w:rsid w:val="009F79A0"/>
    <w:rsid w:val="00A07A6F"/>
    <w:rsid w:val="00A07EE9"/>
    <w:rsid w:val="00A11D6F"/>
    <w:rsid w:val="00A21665"/>
    <w:rsid w:val="00A3713D"/>
    <w:rsid w:val="00A41053"/>
    <w:rsid w:val="00A6789D"/>
    <w:rsid w:val="00A76594"/>
    <w:rsid w:val="00A77F3E"/>
    <w:rsid w:val="00AB381F"/>
    <w:rsid w:val="00AB5F62"/>
    <w:rsid w:val="00AC1F88"/>
    <w:rsid w:val="00AD686D"/>
    <w:rsid w:val="00AE63D1"/>
    <w:rsid w:val="00B04930"/>
    <w:rsid w:val="00B07B0C"/>
    <w:rsid w:val="00B125E5"/>
    <w:rsid w:val="00B212EE"/>
    <w:rsid w:val="00B26887"/>
    <w:rsid w:val="00B321E9"/>
    <w:rsid w:val="00B463FD"/>
    <w:rsid w:val="00B54813"/>
    <w:rsid w:val="00B74DEC"/>
    <w:rsid w:val="00B8729E"/>
    <w:rsid w:val="00B87FDD"/>
    <w:rsid w:val="00B9568A"/>
    <w:rsid w:val="00BB0D9E"/>
    <w:rsid w:val="00BB32E9"/>
    <w:rsid w:val="00BB53FF"/>
    <w:rsid w:val="00BC579C"/>
    <w:rsid w:val="00BD1D68"/>
    <w:rsid w:val="00BD32A9"/>
    <w:rsid w:val="00BE53D1"/>
    <w:rsid w:val="00BF3069"/>
    <w:rsid w:val="00C0109C"/>
    <w:rsid w:val="00C30520"/>
    <w:rsid w:val="00C43866"/>
    <w:rsid w:val="00C706B9"/>
    <w:rsid w:val="00C75882"/>
    <w:rsid w:val="00C97BEF"/>
    <w:rsid w:val="00C97FAF"/>
    <w:rsid w:val="00CC0077"/>
    <w:rsid w:val="00CC2251"/>
    <w:rsid w:val="00CC342A"/>
    <w:rsid w:val="00CC344C"/>
    <w:rsid w:val="00CD07D3"/>
    <w:rsid w:val="00CE0669"/>
    <w:rsid w:val="00CE2F15"/>
    <w:rsid w:val="00CE44D6"/>
    <w:rsid w:val="00CF4271"/>
    <w:rsid w:val="00CF4FC3"/>
    <w:rsid w:val="00D17A4F"/>
    <w:rsid w:val="00D216C1"/>
    <w:rsid w:val="00D337EB"/>
    <w:rsid w:val="00D450EC"/>
    <w:rsid w:val="00D57108"/>
    <w:rsid w:val="00D73662"/>
    <w:rsid w:val="00D81485"/>
    <w:rsid w:val="00D93D73"/>
    <w:rsid w:val="00DA1A21"/>
    <w:rsid w:val="00DA2021"/>
    <w:rsid w:val="00DB2C3F"/>
    <w:rsid w:val="00DB68A4"/>
    <w:rsid w:val="00DC3E84"/>
    <w:rsid w:val="00E15FE7"/>
    <w:rsid w:val="00E2023D"/>
    <w:rsid w:val="00E6494B"/>
    <w:rsid w:val="00E651D4"/>
    <w:rsid w:val="00E72EAD"/>
    <w:rsid w:val="00E855AC"/>
    <w:rsid w:val="00E95B42"/>
    <w:rsid w:val="00EA15F3"/>
    <w:rsid w:val="00EA63A5"/>
    <w:rsid w:val="00EB60F8"/>
    <w:rsid w:val="00EB7AF3"/>
    <w:rsid w:val="00EC497B"/>
    <w:rsid w:val="00EC7C93"/>
    <w:rsid w:val="00ED2124"/>
    <w:rsid w:val="00EE0446"/>
    <w:rsid w:val="00EF373A"/>
    <w:rsid w:val="00F23F70"/>
    <w:rsid w:val="00F43204"/>
    <w:rsid w:val="00F46408"/>
    <w:rsid w:val="00F55DD0"/>
    <w:rsid w:val="00F57732"/>
    <w:rsid w:val="00F62CFB"/>
    <w:rsid w:val="00F64DEB"/>
    <w:rsid w:val="00F70943"/>
    <w:rsid w:val="00F71373"/>
    <w:rsid w:val="00F82C91"/>
    <w:rsid w:val="00F864D3"/>
    <w:rsid w:val="00FB3639"/>
    <w:rsid w:val="00FC26EE"/>
    <w:rsid w:val="00FF4DA0"/>
    <w:rsid w:val="00FF7776"/>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90F3F6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C233B"/>
    <w:rPr>
      <w:rFonts w:ascii="Times New Roman" w:hAnsi="Times New Roman" w:cs="Times New Roman"/>
      <w:lang w:eastAsia="en-GB"/>
    </w:rPr>
  </w:style>
  <w:style w:type="paragraph" w:styleId="Heading1">
    <w:name w:val="heading 1"/>
    <w:basedOn w:val="Normal"/>
    <w:link w:val="Heading1Char"/>
    <w:uiPriority w:val="9"/>
    <w:qFormat/>
    <w:rsid w:val="00EE0446"/>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EE04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0446"/>
    <w:rPr>
      <w:rFonts w:ascii="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EE0446"/>
    <w:rPr>
      <w:rFonts w:asciiTheme="majorHAnsi" w:eastAsiaTheme="majorEastAsia" w:hAnsiTheme="majorHAnsi" w:cstheme="majorBidi"/>
      <w:color w:val="2F5496" w:themeColor="accent1" w:themeShade="BF"/>
      <w:sz w:val="26"/>
      <w:szCs w:val="26"/>
      <w:lang w:eastAsia="en-GB"/>
    </w:rPr>
  </w:style>
  <w:style w:type="character" w:styleId="Hyperlink">
    <w:name w:val="Hyperlink"/>
    <w:basedOn w:val="DefaultParagraphFont"/>
    <w:uiPriority w:val="99"/>
    <w:unhideWhenUsed/>
    <w:rsid w:val="003C233B"/>
    <w:rPr>
      <w:color w:val="0563C1" w:themeColor="hyperlink"/>
      <w:u w:val="single"/>
    </w:rPr>
  </w:style>
  <w:style w:type="paragraph" w:styleId="ListParagraph">
    <w:name w:val="List Paragraph"/>
    <w:basedOn w:val="Normal"/>
    <w:uiPriority w:val="34"/>
    <w:qFormat/>
    <w:rsid w:val="00B54813"/>
    <w:pPr>
      <w:ind w:left="720"/>
      <w:contextualSpacing/>
    </w:pPr>
  </w:style>
  <w:style w:type="paragraph" w:styleId="FootnoteText">
    <w:name w:val="footnote text"/>
    <w:basedOn w:val="Normal"/>
    <w:link w:val="FootnoteTextChar"/>
    <w:uiPriority w:val="99"/>
    <w:unhideWhenUsed/>
    <w:rsid w:val="00B54813"/>
  </w:style>
  <w:style w:type="character" w:customStyle="1" w:styleId="FootnoteTextChar">
    <w:name w:val="Footnote Text Char"/>
    <w:basedOn w:val="DefaultParagraphFont"/>
    <w:link w:val="FootnoteText"/>
    <w:uiPriority w:val="99"/>
    <w:rsid w:val="00B54813"/>
    <w:rPr>
      <w:rFonts w:ascii="Times New Roman" w:hAnsi="Times New Roman" w:cs="Times New Roman"/>
      <w:lang w:eastAsia="en-GB"/>
    </w:rPr>
  </w:style>
  <w:style w:type="character" w:styleId="FootnoteReference">
    <w:name w:val="footnote reference"/>
    <w:basedOn w:val="DefaultParagraphFont"/>
    <w:uiPriority w:val="99"/>
    <w:unhideWhenUsed/>
    <w:rsid w:val="00B54813"/>
    <w:rPr>
      <w:vertAlign w:val="superscript"/>
    </w:rPr>
  </w:style>
  <w:style w:type="character" w:styleId="CommentReference">
    <w:name w:val="annotation reference"/>
    <w:basedOn w:val="DefaultParagraphFont"/>
    <w:uiPriority w:val="99"/>
    <w:semiHidden/>
    <w:unhideWhenUsed/>
    <w:rsid w:val="00B54813"/>
    <w:rPr>
      <w:sz w:val="18"/>
      <w:szCs w:val="18"/>
    </w:rPr>
  </w:style>
  <w:style w:type="paragraph" w:styleId="CommentText">
    <w:name w:val="annotation text"/>
    <w:basedOn w:val="Normal"/>
    <w:link w:val="CommentTextChar"/>
    <w:uiPriority w:val="99"/>
    <w:semiHidden/>
    <w:unhideWhenUsed/>
    <w:rsid w:val="00B54813"/>
  </w:style>
  <w:style w:type="character" w:customStyle="1" w:styleId="CommentTextChar">
    <w:name w:val="Comment Text Char"/>
    <w:basedOn w:val="DefaultParagraphFont"/>
    <w:link w:val="CommentText"/>
    <w:uiPriority w:val="99"/>
    <w:semiHidden/>
    <w:rsid w:val="00B54813"/>
    <w:rPr>
      <w:rFonts w:ascii="Times New Roman" w:hAnsi="Times New Roman" w:cs="Times New Roman"/>
      <w:lang w:eastAsia="en-GB"/>
    </w:rPr>
  </w:style>
  <w:style w:type="paragraph" w:styleId="BalloonText">
    <w:name w:val="Balloon Text"/>
    <w:basedOn w:val="Normal"/>
    <w:link w:val="BalloonTextChar"/>
    <w:uiPriority w:val="99"/>
    <w:semiHidden/>
    <w:unhideWhenUsed/>
    <w:rsid w:val="00B54813"/>
    <w:rPr>
      <w:sz w:val="18"/>
      <w:szCs w:val="18"/>
    </w:rPr>
  </w:style>
  <w:style w:type="character" w:customStyle="1" w:styleId="BalloonTextChar">
    <w:name w:val="Balloon Text Char"/>
    <w:basedOn w:val="DefaultParagraphFont"/>
    <w:link w:val="BalloonText"/>
    <w:uiPriority w:val="99"/>
    <w:semiHidden/>
    <w:rsid w:val="00B54813"/>
    <w:rPr>
      <w:rFonts w:ascii="Times New Roman" w:hAnsi="Times New Roman" w:cs="Times New Roman"/>
      <w:sz w:val="18"/>
      <w:szCs w:val="18"/>
      <w:lang w:eastAsia="en-GB"/>
    </w:rPr>
  </w:style>
  <w:style w:type="paragraph" w:styleId="NoSpacing">
    <w:name w:val="No Spacing"/>
    <w:link w:val="NoSpacingChar"/>
    <w:uiPriority w:val="1"/>
    <w:qFormat/>
    <w:rsid w:val="00EE0446"/>
    <w:rPr>
      <w:rFonts w:eastAsiaTheme="minorEastAsia"/>
      <w:sz w:val="22"/>
      <w:szCs w:val="22"/>
      <w:lang w:val="en-US" w:eastAsia="zh-CN"/>
    </w:rPr>
  </w:style>
  <w:style w:type="character" w:customStyle="1" w:styleId="NoSpacingChar">
    <w:name w:val="No Spacing Char"/>
    <w:basedOn w:val="DefaultParagraphFont"/>
    <w:link w:val="NoSpacing"/>
    <w:uiPriority w:val="1"/>
    <w:rsid w:val="00EE0446"/>
    <w:rPr>
      <w:rFonts w:eastAsiaTheme="minorEastAsia"/>
      <w:sz w:val="22"/>
      <w:szCs w:val="22"/>
      <w:lang w:val="en-US" w:eastAsia="zh-CN"/>
    </w:rPr>
  </w:style>
  <w:style w:type="paragraph" w:customStyle="1" w:styleId="p1">
    <w:name w:val="p1"/>
    <w:basedOn w:val="Normal"/>
    <w:rsid w:val="00EE0446"/>
    <w:rPr>
      <w:rFonts w:ascii="Helvetica" w:hAnsi="Helvetica"/>
      <w:sz w:val="18"/>
      <w:szCs w:val="18"/>
    </w:rPr>
  </w:style>
  <w:style w:type="character" w:customStyle="1" w:styleId="CommentSubjectChar">
    <w:name w:val="Comment Subject Char"/>
    <w:basedOn w:val="CommentTextChar"/>
    <w:link w:val="CommentSubject"/>
    <w:uiPriority w:val="99"/>
    <w:semiHidden/>
    <w:rsid w:val="00EE0446"/>
    <w:rPr>
      <w:rFonts w:ascii="Times New Roman" w:hAnsi="Times New Roman" w:cs="Times New Roman"/>
      <w:b/>
      <w:bCs/>
      <w:sz w:val="20"/>
      <w:szCs w:val="20"/>
      <w:lang w:eastAsia="en-GB"/>
    </w:rPr>
  </w:style>
  <w:style w:type="paragraph" w:styleId="CommentSubject">
    <w:name w:val="annotation subject"/>
    <w:basedOn w:val="CommentText"/>
    <w:next w:val="CommentText"/>
    <w:link w:val="CommentSubjectChar"/>
    <w:uiPriority w:val="99"/>
    <w:semiHidden/>
    <w:unhideWhenUsed/>
    <w:rsid w:val="00EE0446"/>
    <w:rPr>
      <w:b/>
      <w:bCs/>
      <w:sz w:val="20"/>
      <w:szCs w:val="20"/>
    </w:rPr>
  </w:style>
  <w:style w:type="paragraph" w:styleId="NormalWeb">
    <w:name w:val="Normal (Web)"/>
    <w:basedOn w:val="Normal"/>
    <w:uiPriority w:val="99"/>
    <w:unhideWhenUsed/>
    <w:rsid w:val="00EE0446"/>
    <w:pPr>
      <w:spacing w:before="100" w:beforeAutospacing="1" w:after="100" w:afterAutospacing="1"/>
    </w:pPr>
  </w:style>
  <w:style w:type="paragraph" w:styleId="Footer">
    <w:name w:val="footer"/>
    <w:basedOn w:val="Normal"/>
    <w:link w:val="FooterChar"/>
    <w:uiPriority w:val="99"/>
    <w:unhideWhenUsed/>
    <w:rsid w:val="00EE0446"/>
    <w:pPr>
      <w:tabs>
        <w:tab w:val="center" w:pos="4513"/>
        <w:tab w:val="right" w:pos="9026"/>
      </w:tabs>
    </w:pPr>
  </w:style>
  <w:style w:type="character" w:customStyle="1" w:styleId="FooterChar">
    <w:name w:val="Footer Char"/>
    <w:basedOn w:val="DefaultParagraphFont"/>
    <w:link w:val="Footer"/>
    <w:uiPriority w:val="99"/>
    <w:rsid w:val="00EE0446"/>
    <w:rPr>
      <w:rFonts w:ascii="Times New Roman" w:hAnsi="Times New Roman" w:cs="Times New Roman"/>
      <w:lang w:eastAsia="en-GB"/>
    </w:rPr>
  </w:style>
  <w:style w:type="paragraph" w:styleId="Header">
    <w:name w:val="header"/>
    <w:basedOn w:val="Normal"/>
    <w:link w:val="HeaderChar"/>
    <w:uiPriority w:val="99"/>
    <w:unhideWhenUsed/>
    <w:rsid w:val="00EE0446"/>
    <w:pPr>
      <w:tabs>
        <w:tab w:val="center" w:pos="4513"/>
        <w:tab w:val="right" w:pos="9026"/>
      </w:tabs>
    </w:pPr>
  </w:style>
  <w:style w:type="character" w:customStyle="1" w:styleId="HeaderChar">
    <w:name w:val="Header Char"/>
    <w:basedOn w:val="DefaultParagraphFont"/>
    <w:link w:val="Header"/>
    <w:uiPriority w:val="99"/>
    <w:rsid w:val="00EE0446"/>
    <w:rPr>
      <w:rFonts w:ascii="Times New Roman" w:hAnsi="Times New Roman" w:cs="Times New Roman"/>
      <w:lang w:eastAsia="en-GB"/>
    </w:rPr>
  </w:style>
  <w:style w:type="character" w:customStyle="1" w:styleId="a">
    <w:name w:val="_"/>
    <w:basedOn w:val="DefaultParagraphFont"/>
    <w:rsid w:val="00EE0446"/>
  </w:style>
  <w:style w:type="character" w:customStyle="1" w:styleId="ff4">
    <w:name w:val="ff4"/>
    <w:basedOn w:val="DefaultParagraphFont"/>
    <w:rsid w:val="00EE0446"/>
  </w:style>
  <w:style w:type="character" w:customStyle="1" w:styleId="ff2">
    <w:name w:val="ff2"/>
    <w:basedOn w:val="DefaultParagraphFont"/>
    <w:rsid w:val="00EE0446"/>
  </w:style>
  <w:style w:type="paragraph" w:styleId="EndnoteText">
    <w:name w:val="endnote text"/>
    <w:basedOn w:val="Normal"/>
    <w:link w:val="EndnoteTextChar"/>
    <w:uiPriority w:val="99"/>
    <w:unhideWhenUsed/>
    <w:rsid w:val="00EE0446"/>
  </w:style>
  <w:style w:type="character" w:customStyle="1" w:styleId="EndnoteTextChar">
    <w:name w:val="Endnote Text Char"/>
    <w:basedOn w:val="DefaultParagraphFont"/>
    <w:link w:val="EndnoteText"/>
    <w:uiPriority w:val="99"/>
    <w:rsid w:val="00EE0446"/>
    <w:rPr>
      <w:rFonts w:ascii="Times New Roman" w:hAnsi="Times New Roman" w:cs="Times New Roman"/>
      <w:lang w:eastAsia="en-GB"/>
    </w:rPr>
  </w:style>
  <w:style w:type="character" w:styleId="EndnoteReference">
    <w:name w:val="endnote reference"/>
    <w:basedOn w:val="DefaultParagraphFont"/>
    <w:uiPriority w:val="99"/>
    <w:unhideWhenUsed/>
    <w:rsid w:val="00EE0446"/>
    <w:rPr>
      <w:vertAlign w:val="superscript"/>
    </w:rPr>
  </w:style>
  <w:style w:type="character" w:styleId="Strong">
    <w:name w:val="Strong"/>
    <w:basedOn w:val="DefaultParagraphFont"/>
    <w:uiPriority w:val="22"/>
    <w:qFormat/>
    <w:rsid w:val="00EE0446"/>
    <w:rPr>
      <w:b/>
      <w:bCs/>
    </w:rPr>
  </w:style>
  <w:style w:type="character" w:customStyle="1" w:styleId="normaltextrun">
    <w:name w:val="normaltextrun"/>
    <w:basedOn w:val="DefaultParagraphFont"/>
    <w:rsid w:val="00EE0446"/>
  </w:style>
  <w:style w:type="character" w:customStyle="1" w:styleId="superscript">
    <w:name w:val="superscript"/>
    <w:basedOn w:val="DefaultParagraphFont"/>
    <w:rsid w:val="00EE0446"/>
  </w:style>
  <w:style w:type="character" w:customStyle="1" w:styleId="apple-converted-space">
    <w:name w:val="apple-converted-space"/>
    <w:basedOn w:val="DefaultParagraphFont"/>
    <w:rsid w:val="00EE0446"/>
  </w:style>
  <w:style w:type="character" w:styleId="PageNumber">
    <w:name w:val="page number"/>
    <w:basedOn w:val="DefaultParagraphFont"/>
    <w:uiPriority w:val="99"/>
    <w:semiHidden/>
    <w:unhideWhenUsed/>
    <w:rsid w:val="00FF7776"/>
  </w:style>
  <w:style w:type="character" w:styleId="PlaceholderText">
    <w:name w:val="Placeholder Text"/>
    <w:basedOn w:val="DefaultParagraphFont"/>
    <w:uiPriority w:val="99"/>
    <w:semiHidden/>
    <w:rsid w:val="00C7588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280356">
      <w:bodyDiv w:val="1"/>
      <w:marLeft w:val="0"/>
      <w:marRight w:val="0"/>
      <w:marTop w:val="0"/>
      <w:marBottom w:val="0"/>
      <w:divBdr>
        <w:top w:val="none" w:sz="0" w:space="0" w:color="auto"/>
        <w:left w:val="none" w:sz="0" w:space="0" w:color="auto"/>
        <w:bottom w:val="none" w:sz="0" w:space="0" w:color="auto"/>
        <w:right w:val="none" w:sz="0" w:space="0" w:color="auto"/>
      </w:divBdr>
    </w:div>
    <w:div w:id="1501390869">
      <w:bodyDiv w:val="1"/>
      <w:marLeft w:val="0"/>
      <w:marRight w:val="0"/>
      <w:marTop w:val="0"/>
      <w:marBottom w:val="0"/>
      <w:divBdr>
        <w:top w:val="none" w:sz="0" w:space="0" w:color="auto"/>
        <w:left w:val="none" w:sz="0" w:space="0" w:color="auto"/>
        <w:bottom w:val="none" w:sz="0" w:space="0" w:color="auto"/>
        <w:right w:val="none" w:sz="0" w:space="0" w:color="auto"/>
      </w:divBdr>
    </w:div>
    <w:div w:id="1577397056">
      <w:bodyDiv w:val="1"/>
      <w:marLeft w:val="0"/>
      <w:marRight w:val="0"/>
      <w:marTop w:val="0"/>
      <w:marBottom w:val="0"/>
      <w:divBdr>
        <w:top w:val="none" w:sz="0" w:space="0" w:color="auto"/>
        <w:left w:val="none" w:sz="0" w:space="0" w:color="auto"/>
        <w:bottom w:val="none" w:sz="0" w:space="0" w:color="auto"/>
        <w:right w:val="none" w:sz="0" w:space="0" w:color="auto"/>
      </w:divBdr>
    </w:div>
    <w:div w:id="210498351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if238@bath.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6BC9082-E34C-864C-AE61-170C28CF3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20481</Words>
  <Characters>116742</Characters>
  <Application>Microsoft Macintosh Word</Application>
  <DocSecurity>0</DocSecurity>
  <Lines>972</Lines>
  <Paragraphs>273</Paragraphs>
  <ScaleCrop>false</ScaleCrop>
  <HeadingPairs>
    <vt:vector size="4" baseType="variant">
      <vt:variant>
        <vt:lpstr>Title</vt:lpstr>
      </vt:variant>
      <vt:variant>
        <vt:i4>1</vt:i4>
      </vt:variant>
      <vt:variant>
        <vt:lpstr>Headings</vt:lpstr>
      </vt:variant>
      <vt:variant>
        <vt:i4>9</vt:i4>
      </vt:variant>
    </vt:vector>
  </HeadingPairs>
  <TitlesOfParts>
    <vt:vector size="10" baseType="lpstr">
      <vt:lpstr/>
      <vt:lpstr>Figure 1: The Litigation Game (Gilson and Mnookin, 1994)</vt:lpstr>
      <vt:lpstr>/Figure 2: Six-Move Exponential Centipede Game (McKelvey and Palfrey, 1992) </vt:lpstr>
      <vt:lpstr>Figure 3: QRE (McKelvey and Palfrey, 1995)</vt:lpstr>
      <vt:lpstr>Table 2: Predictions </vt:lpstr>
      <vt:lpstr/>
      <vt:lpstr>Proposition 1: The typical lawyer will overinvest when earning equal hourly-rate</vt:lpstr>
      <vt:lpstr>/Figure 5: IDBG – Hourly-Fees  </vt:lpstr>
      <vt:lpstr>Table 3: Upper Bound Epsilons</vt:lpstr>
      <vt:lpstr>Figure 7: Inequity-Aversion Distribution (Fehr and Schmidt, 1999)</vt:lpstr>
    </vt:vector>
  </TitlesOfParts>
  <LinksUpToDate>false</LinksUpToDate>
  <CharactersWithSpaces>136950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2022-04-14T13:27:00Z</cp:lastPrinted>
  <dcterms:created xsi:type="dcterms:W3CDTF">2022-06-29T13:22:00Z</dcterms:created>
  <dcterms:modified xsi:type="dcterms:W3CDTF">2022-06-29T13:22:00Z</dcterms:modified>
</cp:coreProperties>
</file>